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Default Extension="png" ContentType="image/png"/>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firstLine="0"/>
        <w:jc w:val="left"/>
        <w:rPr>
          <w:rFonts w:ascii="Times New Roman"/>
          <w:sz w:val="20"/>
        </w:rPr>
      </w:pPr>
    </w:p>
    <w:p>
      <w:pPr>
        <w:pStyle w:val="BodyText"/>
        <w:spacing w:before="2"/>
        <w:ind w:left="0" w:firstLine="0"/>
        <w:jc w:val="left"/>
        <w:rPr>
          <w:rFonts w:ascii="Times New Roman"/>
          <w:sz w:val="23"/>
        </w:rPr>
      </w:pPr>
    </w:p>
    <w:p>
      <w:pPr>
        <w:pStyle w:val="Heading2"/>
        <w:tabs>
          <w:tab w:pos="1024" w:val="left" w:leader="none"/>
          <w:tab w:pos="9837" w:val="left" w:leader="none"/>
        </w:tabs>
        <w:spacing w:before="99"/>
        <w:ind w:left="143" w:firstLine="0"/>
      </w:pPr>
      <w:r>
        <w:rPr>
          <w:w w:val="99"/>
          <w:shd w:fill="32CCCC" w:color="auto" w:val="clear"/>
        </w:rPr>
        <w:t> </w:t>
      </w:r>
      <w:r>
        <w:rPr>
          <w:shd w:fill="32CCCC" w:color="auto" w:val="clear"/>
        </w:rPr>
        <w:tab/>
        <w:t>IDENTIFIKAČNÍ</w:t>
      </w:r>
      <w:r>
        <w:rPr>
          <w:spacing w:val="-11"/>
          <w:shd w:fill="32CCCC" w:color="auto" w:val="clear"/>
        </w:rPr>
        <w:t> </w:t>
      </w:r>
      <w:r>
        <w:rPr>
          <w:shd w:fill="32CCCC" w:color="auto" w:val="clear"/>
        </w:rPr>
        <w:t>ÚDAJE</w:t>
        <w:tab/>
      </w:r>
    </w:p>
    <w:p>
      <w:pPr>
        <w:pStyle w:val="BodyText"/>
        <w:spacing w:before="4"/>
        <w:ind w:left="0" w:firstLine="0"/>
        <w:jc w:val="left"/>
        <w:rPr>
          <w:b/>
        </w:rPr>
      </w:pPr>
    </w:p>
    <w:tbl>
      <w:tblPr>
        <w:tblW w:w="0" w:type="auto"/>
        <w:jc w:val="left"/>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09"/>
        <w:gridCol w:w="5527"/>
      </w:tblGrid>
      <w:tr>
        <w:trPr>
          <w:trHeight w:val="328" w:hRule="atLeast"/>
        </w:trPr>
        <w:tc>
          <w:tcPr>
            <w:tcW w:w="4109" w:type="dxa"/>
          </w:tcPr>
          <w:p>
            <w:pPr>
              <w:pStyle w:val="TableParagraph"/>
              <w:spacing w:line="187" w:lineRule="exact" w:before="121"/>
              <w:ind w:left="88"/>
              <w:rPr>
                <w:sz w:val="18"/>
              </w:rPr>
            </w:pPr>
            <w:r>
              <w:rPr>
                <w:sz w:val="18"/>
              </w:rPr>
              <w:t>Název díla:</w:t>
            </w:r>
          </w:p>
        </w:tc>
        <w:tc>
          <w:tcPr>
            <w:tcW w:w="5527" w:type="dxa"/>
          </w:tcPr>
          <w:p>
            <w:pPr>
              <w:pStyle w:val="TableParagraph"/>
              <w:spacing w:line="187" w:lineRule="exact" w:before="121"/>
              <w:ind w:left="88"/>
              <w:rPr>
                <w:sz w:val="18"/>
              </w:rPr>
            </w:pPr>
            <w:r>
              <w:rPr>
                <w:sz w:val="18"/>
              </w:rPr>
              <w:t>Územní plán Chrastava</w:t>
            </w:r>
          </w:p>
        </w:tc>
      </w:tr>
      <w:tr>
        <w:trPr>
          <w:trHeight w:val="325" w:hRule="atLeast"/>
        </w:trPr>
        <w:tc>
          <w:tcPr>
            <w:tcW w:w="4109" w:type="dxa"/>
          </w:tcPr>
          <w:p>
            <w:pPr>
              <w:pStyle w:val="TableParagraph"/>
              <w:spacing w:line="187" w:lineRule="exact" w:before="119"/>
              <w:ind w:left="88"/>
              <w:rPr>
                <w:sz w:val="18"/>
              </w:rPr>
            </w:pPr>
            <w:r>
              <w:rPr>
                <w:sz w:val="18"/>
              </w:rPr>
              <w:t>Část</w:t>
            </w:r>
          </w:p>
        </w:tc>
        <w:tc>
          <w:tcPr>
            <w:tcW w:w="5527" w:type="dxa"/>
          </w:tcPr>
          <w:p>
            <w:pPr>
              <w:pStyle w:val="TableParagraph"/>
              <w:spacing w:line="187" w:lineRule="exact" w:before="119"/>
              <w:ind w:left="88"/>
              <w:rPr>
                <w:sz w:val="18"/>
              </w:rPr>
            </w:pPr>
            <w:r>
              <w:rPr>
                <w:sz w:val="18"/>
              </w:rPr>
              <w:t>Úplné znění po vydání 3.Změny</w:t>
            </w:r>
          </w:p>
        </w:tc>
      </w:tr>
      <w:tr>
        <w:trPr>
          <w:trHeight w:val="738" w:hRule="atLeast"/>
        </w:trPr>
        <w:tc>
          <w:tcPr>
            <w:tcW w:w="4109" w:type="dxa"/>
          </w:tcPr>
          <w:p>
            <w:pPr>
              <w:pStyle w:val="TableParagraph"/>
              <w:spacing w:before="119"/>
              <w:ind w:left="88"/>
              <w:rPr>
                <w:sz w:val="18"/>
              </w:rPr>
            </w:pPr>
            <w:r>
              <w:rPr>
                <w:sz w:val="18"/>
              </w:rPr>
              <w:t>Pořizovatel:</w:t>
            </w:r>
          </w:p>
        </w:tc>
        <w:tc>
          <w:tcPr>
            <w:tcW w:w="5527" w:type="dxa"/>
          </w:tcPr>
          <w:p>
            <w:pPr>
              <w:pStyle w:val="TableParagraph"/>
              <w:spacing w:before="119"/>
              <w:ind w:left="88"/>
              <w:rPr>
                <w:sz w:val="18"/>
              </w:rPr>
            </w:pPr>
            <w:r>
              <w:rPr>
                <w:sz w:val="18"/>
              </w:rPr>
              <w:t>Městský úřad Chrastava</w:t>
            </w:r>
          </w:p>
          <w:p>
            <w:pPr>
              <w:pStyle w:val="TableParagraph"/>
              <w:spacing w:before="121"/>
              <w:ind w:left="88"/>
              <w:rPr>
                <w:sz w:val="18"/>
              </w:rPr>
            </w:pPr>
            <w:r>
              <w:rPr>
                <w:sz w:val="18"/>
              </w:rPr>
              <w:t>Náměstí 1.máje 1, 463 31 Chrastava</w:t>
            </w:r>
          </w:p>
        </w:tc>
      </w:tr>
      <w:tr>
        <w:trPr>
          <w:trHeight w:val="652" w:hRule="atLeast"/>
        </w:trPr>
        <w:tc>
          <w:tcPr>
            <w:tcW w:w="4109" w:type="dxa"/>
          </w:tcPr>
          <w:p>
            <w:pPr>
              <w:pStyle w:val="TableParagraph"/>
              <w:spacing w:before="119"/>
              <w:ind w:left="88"/>
              <w:rPr>
                <w:sz w:val="18"/>
              </w:rPr>
            </w:pPr>
            <w:r>
              <w:rPr>
                <w:sz w:val="18"/>
              </w:rPr>
              <w:t>Objednatel:</w:t>
            </w:r>
          </w:p>
        </w:tc>
        <w:tc>
          <w:tcPr>
            <w:tcW w:w="5527" w:type="dxa"/>
          </w:tcPr>
          <w:p>
            <w:pPr>
              <w:pStyle w:val="TableParagraph"/>
              <w:spacing w:before="119"/>
              <w:ind w:left="88"/>
              <w:rPr>
                <w:sz w:val="18"/>
              </w:rPr>
            </w:pPr>
            <w:r>
              <w:rPr>
                <w:sz w:val="18"/>
              </w:rPr>
              <w:t>Město Chrastava</w:t>
            </w:r>
          </w:p>
          <w:p>
            <w:pPr>
              <w:pStyle w:val="TableParagraph"/>
              <w:spacing w:line="187" w:lineRule="exact" w:before="119"/>
              <w:ind w:left="88"/>
              <w:rPr>
                <w:sz w:val="18"/>
              </w:rPr>
            </w:pPr>
            <w:r>
              <w:rPr>
                <w:sz w:val="18"/>
              </w:rPr>
              <w:t>Náměstí 1.máje 1, 463 31 Chrastava</w:t>
            </w:r>
          </w:p>
        </w:tc>
      </w:tr>
      <w:tr>
        <w:trPr>
          <w:trHeight w:val="654" w:hRule="atLeast"/>
        </w:trPr>
        <w:tc>
          <w:tcPr>
            <w:tcW w:w="4109" w:type="dxa"/>
          </w:tcPr>
          <w:p>
            <w:pPr>
              <w:pStyle w:val="TableParagraph"/>
              <w:spacing w:before="119"/>
              <w:ind w:left="88"/>
              <w:rPr>
                <w:sz w:val="18"/>
              </w:rPr>
            </w:pPr>
            <w:r>
              <w:rPr>
                <w:sz w:val="18"/>
              </w:rPr>
              <w:t>Zhotovitel:</w:t>
            </w:r>
          </w:p>
        </w:tc>
        <w:tc>
          <w:tcPr>
            <w:tcW w:w="5527" w:type="dxa"/>
          </w:tcPr>
          <w:p>
            <w:pPr>
              <w:pStyle w:val="TableParagraph"/>
              <w:spacing w:before="119"/>
              <w:ind w:left="88"/>
              <w:rPr>
                <w:sz w:val="18"/>
              </w:rPr>
            </w:pPr>
            <w:r>
              <w:rPr>
                <w:sz w:val="18"/>
              </w:rPr>
              <w:t>Ing. arch. Jiří Plašil</w:t>
            </w:r>
          </w:p>
          <w:p>
            <w:pPr>
              <w:pStyle w:val="TableParagraph"/>
              <w:spacing w:line="187" w:lineRule="exact" w:before="121"/>
              <w:ind w:left="88"/>
              <w:rPr>
                <w:sz w:val="18"/>
              </w:rPr>
            </w:pPr>
            <w:r>
              <w:rPr>
                <w:sz w:val="18"/>
              </w:rPr>
              <w:t>Fučíkova 137/10, 460 01, Liberec 5</w:t>
            </w:r>
          </w:p>
        </w:tc>
      </w:tr>
      <w:tr>
        <w:trPr>
          <w:trHeight w:val="325" w:hRule="atLeast"/>
        </w:trPr>
        <w:tc>
          <w:tcPr>
            <w:tcW w:w="4109" w:type="dxa"/>
          </w:tcPr>
          <w:p>
            <w:pPr>
              <w:pStyle w:val="TableParagraph"/>
              <w:spacing w:line="187" w:lineRule="exact" w:before="119"/>
              <w:ind w:left="88"/>
              <w:rPr>
                <w:sz w:val="18"/>
              </w:rPr>
            </w:pPr>
            <w:r>
              <w:rPr>
                <w:sz w:val="18"/>
              </w:rPr>
              <w:t>Číslo zakázky zhotovitele:</w:t>
            </w:r>
          </w:p>
        </w:tc>
        <w:tc>
          <w:tcPr>
            <w:tcW w:w="5527" w:type="dxa"/>
          </w:tcPr>
          <w:p>
            <w:pPr>
              <w:pStyle w:val="TableParagraph"/>
              <w:spacing w:line="187" w:lineRule="exact" w:before="119"/>
              <w:ind w:left="88"/>
              <w:rPr>
                <w:sz w:val="18"/>
              </w:rPr>
            </w:pPr>
            <w:r>
              <w:rPr>
                <w:sz w:val="18"/>
              </w:rPr>
              <w:t>011/2020</w:t>
            </w:r>
          </w:p>
        </w:tc>
      </w:tr>
      <w:tr>
        <w:trPr>
          <w:trHeight w:val="328" w:hRule="atLeast"/>
        </w:trPr>
        <w:tc>
          <w:tcPr>
            <w:tcW w:w="4109" w:type="dxa"/>
          </w:tcPr>
          <w:p>
            <w:pPr>
              <w:pStyle w:val="TableParagraph"/>
              <w:spacing w:line="189" w:lineRule="exact" w:before="119"/>
              <w:ind w:left="88"/>
              <w:rPr>
                <w:sz w:val="18"/>
              </w:rPr>
            </w:pPr>
            <w:r>
              <w:rPr>
                <w:sz w:val="18"/>
              </w:rPr>
              <w:t>Číslo zakázky objednatele:</w:t>
            </w:r>
          </w:p>
        </w:tc>
        <w:tc>
          <w:tcPr>
            <w:tcW w:w="5527" w:type="dxa"/>
          </w:tcPr>
          <w:p>
            <w:pPr>
              <w:pStyle w:val="TableParagraph"/>
              <w:ind w:left="0"/>
              <w:rPr>
                <w:rFonts w:ascii="Times New Roman"/>
                <w:sz w:val="18"/>
              </w:rPr>
            </w:pPr>
          </w:p>
        </w:tc>
      </w:tr>
      <w:tr>
        <w:trPr>
          <w:trHeight w:val="325" w:hRule="atLeast"/>
        </w:trPr>
        <w:tc>
          <w:tcPr>
            <w:tcW w:w="4109" w:type="dxa"/>
          </w:tcPr>
          <w:p>
            <w:pPr>
              <w:pStyle w:val="TableParagraph"/>
              <w:spacing w:line="187" w:lineRule="exact" w:before="119"/>
              <w:ind w:left="88"/>
              <w:rPr>
                <w:sz w:val="18"/>
              </w:rPr>
            </w:pPr>
            <w:r>
              <w:rPr>
                <w:sz w:val="18"/>
              </w:rPr>
              <w:t>Datum zhotovení:</w:t>
            </w:r>
          </w:p>
        </w:tc>
        <w:tc>
          <w:tcPr>
            <w:tcW w:w="5527" w:type="dxa"/>
          </w:tcPr>
          <w:p>
            <w:pPr>
              <w:pStyle w:val="TableParagraph"/>
              <w:spacing w:line="187" w:lineRule="exact" w:before="119"/>
              <w:ind w:left="88"/>
              <w:rPr>
                <w:sz w:val="18"/>
              </w:rPr>
            </w:pPr>
            <w:r>
              <w:rPr>
                <w:sz w:val="18"/>
              </w:rPr>
              <w:t>04/2021</w:t>
            </w:r>
          </w:p>
        </w:tc>
      </w:tr>
    </w:tbl>
    <w:p>
      <w:pPr>
        <w:tabs>
          <w:tab w:pos="1024" w:val="left" w:leader="none"/>
          <w:tab w:pos="9837" w:val="left" w:leader="none"/>
        </w:tabs>
        <w:spacing w:before="236"/>
        <w:ind w:left="143" w:right="0" w:firstLine="0"/>
        <w:jc w:val="left"/>
        <w:rPr>
          <w:b/>
          <w:sz w:val="26"/>
        </w:rPr>
      </w:pPr>
      <w:r>
        <w:rPr>
          <w:b/>
          <w:w w:val="99"/>
          <w:sz w:val="26"/>
          <w:shd w:fill="32CCCC" w:color="auto" w:val="clear"/>
        </w:rPr>
        <w:t> </w:t>
      </w:r>
      <w:r>
        <w:rPr>
          <w:b/>
          <w:sz w:val="26"/>
          <w:shd w:fill="32CCCC" w:color="auto" w:val="clear"/>
        </w:rPr>
        <w:tab/>
        <w:t>AUTORSKÝ</w:t>
      </w:r>
      <w:r>
        <w:rPr>
          <w:b/>
          <w:spacing w:val="-8"/>
          <w:sz w:val="26"/>
          <w:shd w:fill="32CCCC" w:color="auto" w:val="clear"/>
        </w:rPr>
        <w:t> </w:t>
      </w:r>
      <w:r>
        <w:rPr>
          <w:b/>
          <w:sz w:val="26"/>
          <w:shd w:fill="32CCCC" w:color="auto" w:val="clear"/>
        </w:rPr>
        <w:t>KOLEKTIV</w:t>
        <w:tab/>
      </w:r>
    </w:p>
    <w:p>
      <w:pPr>
        <w:pStyle w:val="BodyText"/>
        <w:spacing w:before="4"/>
        <w:ind w:left="0" w:firstLine="0"/>
        <w:jc w:val="left"/>
        <w:rPr>
          <w:b/>
        </w:rPr>
      </w:pPr>
    </w:p>
    <w:tbl>
      <w:tblPr>
        <w:tblW w:w="0" w:type="auto"/>
        <w:jc w:val="left"/>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21"/>
        <w:gridCol w:w="5527"/>
      </w:tblGrid>
      <w:tr>
        <w:trPr>
          <w:trHeight w:val="534" w:hRule="atLeast"/>
        </w:trPr>
        <w:tc>
          <w:tcPr>
            <w:tcW w:w="4121" w:type="dxa"/>
          </w:tcPr>
          <w:p>
            <w:pPr>
              <w:pStyle w:val="TableParagraph"/>
              <w:spacing w:line="210" w:lineRule="atLeast" w:before="116"/>
              <w:ind w:left="71" w:right="2209"/>
              <w:rPr>
                <w:sz w:val="18"/>
              </w:rPr>
            </w:pPr>
            <w:r>
              <w:rPr>
                <w:sz w:val="18"/>
              </w:rPr>
              <w:t>Vedoucí projektant Urbanistická koncepce</w:t>
            </w:r>
          </w:p>
        </w:tc>
        <w:tc>
          <w:tcPr>
            <w:tcW w:w="5527" w:type="dxa"/>
          </w:tcPr>
          <w:p>
            <w:pPr>
              <w:pStyle w:val="TableParagraph"/>
              <w:spacing w:before="119"/>
              <w:ind w:left="153"/>
              <w:rPr>
                <w:sz w:val="18"/>
              </w:rPr>
            </w:pPr>
            <w:r>
              <w:rPr>
                <w:sz w:val="18"/>
              </w:rPr>
              <w:t>Ing. arch. Jiří Plašil</w:t>
            </w:r>
          </w:p>
        </w:tc>
      </w:tr>
      <w:tr>
        <w:trPr>
          <w:trHeight w:val="324" w:hRule="atLeast"/>
        </w:trPr>
        <w:tc>
          <w:tcPr>
            <w:tcW w:w="4121" w:type="dxa"/>
          </w:tcPr>
          <w:p>
            <w:pPr>
              <w:pStyle w:val="TableParagraph"/>
              <w:spacing w:line="187" w:lineRule="exact" w:before="117"/>
              <w:ind w:left="71"/>
              <w:rPr>
                <w:sz w:val="18"/>
              </w:rPr>
            </w:pPr>
            <w:r>
              <w:rPr>
                <w:sz w:val="18"/>
              </w:rPr>
              <w:t>Regulativy využití území</w:t>
            </w:r>
          </w:p>
        </w:tc>
        <w:tc>
          <w:tcPr>
            <w:tcW w:w="5527" w:type="dxa"/>
          </w:tcPr>
          <w:p>
            <w:pPr>
              <w:pStyle w:val="TableParagraph"/>
              <w:spacing w:line="187" w:lineRule="exact" w:before="117"/>
              <w:ind w:left="153"/>
              <w:rPr>
                <w:sz w:val="18"/>
              </w:rPr>
            </w:pPr>
            <w:r>
              <w:rPr>
                <w:sz w:val="18"/>
              </w:rPr>
              <w:t>Ing. arch. Jiří Plašil</w:t>
            </w:r>
          </w:p>
        </w:tc>
      </w:tr>
      <w:tr>
        <w:trPr>
          <w:trHeight w:val="534" w:hRule="atLeast"/>
        </w:trPr>
        <w:tc>
          <w:tcPr>
            <w:tcW w:w="4121" w:type="dxa"/>
          </w:tcPr>
          <w:p>
            <w:pPr>
              <w:pStyle w:val="TableParagraph"/>
              <w:spacing w:line="210" w:lineRule="atLeast" w:before="116"/>
              <w:ind w:left="71" w:right="1698"/>
              <w:rPr>
                <w:sz w:val="18"/>
              </w:rPr>
            </w:pPr>
            <w:r>
              <w:rPr>
                <w:sz w:val="18"/>
              </w:rPr>
              <w:t>Hospodářská základna – výroba, služby, cestovní ruch</w:t>
            </w:r>
          </w:p>
        </w:tc>
        <w:tc>
          <w:tcPr>
            <w:tcW w:w="5527" w:type="dxa"/>
          </w:tcPr>
          <w:p>
            <w:pPr>
              <w:pStyle w:val="TableParagraph"/>
              <w:spacing w:before="119"/>
              <w:ind w:left="153"/>
              <w:rPr>
                <w:sz w:val="18"/>
              </w:rPr>
            </w:pPr>
            <w:r>
              <w:rPr>
                <w:sz w:val="18"/>
              </w:rPr>
              <w:t>Ing. Oldřich Lubojacký</w:t>
            </w:r>
          </w:p>
        </w:tc>
      </w:tr>
      <w:tr>
        <w:trPr>
          <w:trHeight w:val="324" w:hRule="atLeast"/>
        </w:trPr>
        <w:tc>
          <w:tcPr>
            <w:tcW w:w="4121" w:type="dxa"/>
          </w:tcPr>
          <w:p>
            <w:pPr>
              <w:pStyle w:val="TableParagraph"/>
              <w:spacing w:line="187" w:lineRule="exact" w:before="117"/>
              <w:ind w:left="71"/>
              <w:rPr>
                <w:sz w:val="18"/>
              </w:rPr>
            </w:pPr>
            <w:r>
              <w:rPr>
                <w:sz w:val="18"/>
              </w:rPr>
              <w:t>Dopravní infrastruktura a dopravní systémy</w:t>
            </w:r>
          </w:p>
        </w:tc>
        <w:tc>
          <w:tcPr>
            <w:tcW w:w="5527" w:type="dxa"/>
          </w:tcPr>
          <w:p>
            <w:pPr>
              <w:pStyle w:val="TableParagraph"/>
              <w:spacing w:line="187" w:lineRule="exact" w:before="117"/>
              <w:ind w:left="153"/>
              <w:rPr>
                <w:sz w:val="18"/>
              </w:rPr>
            </w:pPr>
            <w:r>
              <w:rPr>
                <w:sz w:val="18"/>
              </w:rPr>
              <w:t>Ing. Ladislav Křenek</w:t>
            </w:r>
          </w:p>
        </w:tc>
      </w:tr>
      <w:tr>
        <w:trPr>
          <w:trHeight w:val="534" w:hRule="atLeast"/>
        </w:trPr>
        <w:tc>
          <w:tcPr>
            <w:tcW w:w="4121" w:type="dxa"/>
          </w:tcPr>
          <w:p>
            <w:pPr>
              <w:pStyle w:val="TableParagraph"/>
              <w:spacing w:line="206" w:lineRule="exact" w:before="125"/>
              <w:ind w:left="71"/>
              <w:rPr>
                <w:sz w:val="18"/>
              </w:rPr>
            </w:pPr>
            <w:r>
              <w:rPr>
                <w:sz w:val="18"/>
              </w:rPr>
              <w:t>Technická infrastruktura – vodní hospodářství, Vodní toky a plochy, ochrana před povodněmi</w:t>
            </w:r>
          </w:p>
        </w:tc>
        <w:tc>
          <w:tcPr>
            <w:tcW w:w="5527" w:type="dxa"/>
          </w:tcPr>
          <w:p>
            <w:pPr>
              <w:pStyle w:val="TableParagraph"/>
              <w:spacing w:before="121"/>
              <w:ind w:left="153"/>
              <w:rPr>
                <w:sz w:val="18"/>
              </w:rPr>
            </w:pPr>
            <w:r>
              <w:rPr>
                <w:sz w:val="18"/>
              </w:rPr>
              <w:t>Ing. Leoš Slavík</w:t>
            </w:r>
          </w:p>
        </w:tc>
      </w:tr>
      <w:tr>
        <w:trPr>
          <w:trHeight w:val="532" w:hRule="atLeast"/>
        </w:trPr>
        <w:tc>
          <w:tcPr>
            <w:tcW w:w="4121" w:type="dxa"/>
          </w:tcPr>
          <w:p>
            <w:pPr>
              <w:pStyle w:val="TableParagraph"/>
              <w:spacing w:line="206" w:lineRule="exact" w:before="121"/>
              <w:ind w:left="71" w:right="1529"/>
              <w:rPr>
                <w:sz w:val="18"/>
              </w:rPr>
            </w:pPr>
            <w:r>
              <w:rPr>
                <w:sz w:val="18"/>
              </w:rPr>
              <w:t>Technická infrastruktura – energetika, informační systémy</w:t>
            </w:r>
          </w:p>
        </w:tc>
        <w:tc>
          <w:tcPr>
            <w:tcW w:w="5527" w:type="dxa"/>
          </w:tcPr>
          <w:p>
            <w:pPr>
              <w:pStyle w:val="TableParagraph"/>
              <w:spacing w:before="116"/>
              <w:ind w:left="153"/>
              <w:rPr>
                <w:sz w:val="18"/>
              </w:rPr>
            </w:pPr>
            <w:r>
              <w:rPr>
                <w:sz w:val="18"/>
              </w:rPr>
              <w:t>Ing. Boleslav Jagiello</w:t>
            </w:r>
          </w:p>
        </w:tc>
      </w:tr>
      <w:tr>
        <w:trPr>
          <w:trHeight w:val="532" w:hRule="atLeast"/>
        </w:trPr>
        <w:tc>
          <w:tcPr>
            <w:tcW w:w="4121" w:type="dxa"/>
          </w:tcPr>
          <w:p>
            <w:pPr>
              <w:pStyle w:val="TableParagraph"/>
              <w:spacing w:line="207" w:lineRule="exact" w:before="118"/>
              <w:ind w:left="71"/>
              <w:rPr>
                <w:sz w:val="18"/>
              </w:rPr>
            </w:pPr>
            <w:r>
              <w:rPr>
                <w:sz w:val="18"/>
              </w:rPr>
              <w:t>Širší vztahy</w:t>
            </w:r>
          </w:p>
          <w:p>
            <w:pPr>
              <w:pStyle w:val="TableParagraph"/>
              <w:spacing w:line="187" w:lineRule="exact"/>
              <w:ind w:left="71"/>
              <w:rPr>
                <w:sz w:val="18"/>
              </w:rPr>
            </w:pPr>
            <w:r>
              <w:rPr>
                <w:sz w:val="18"/>
              </w:rPr>
              <w:t>Občanské vybavení, civilní ochrana</w:t>
            </w:r>
          </w:p>
        </w:tc>
        <w:tc>
          <w:tcPr>
            <w:tcW w:w="5527" w:type="dxa"/>
          </w:tcPr>
          <w:p>
            <w:pPr>
              <w:pStyle w:val="TableParagraph"/>
              <w:spacing w:before="118"/>
              <w:ind w:left="153"/>
              <w:rPr>
                <w:sz w:val="18"/>
              </w:rPr>
            </w:pPr>
            <w:r>
              <w:rPr>
                <w:sz w:val="18"/>
              </w:rPr>
              <w:t>RNDr. Zdeněk Kadlas</w:t>
            </w:r>
          </w:p>
        </w:tc>
      </w:tr>
      <w:tr>
        <w:trPr>
          <w:trHeight w:val="534" w:hRule="atLeast"/>
        </w:trPr>
        <w:tc>
          <w:tcPr>
            <w:tcW w:w="4121" w:type="dxa"/>
          </w:tcPr>
          <w:p>
            <w:pPr>
              <w:pStyle w:val="TableParagraph"/>
              <w:spacing w:line="210" w:lineRule="atLeast" w:before="116"/>
              <w:ind w:left="71" w:right="1078"/>
              <w:rPr>
                <w:sz w:val="18"/>
              </w:rPr>
            </w:pPr>
            <w:r>
              <w:rPr>
                <w:sz w:val="18"/>
              </w:rPr>
              <w:t>Obyvatelstvo, bydlení, zaměstnanost Občanské vybavení</w:t>
            </w:r>
          </w:p>
        </w:tc>
        <w:tc>
          <w:tcPr>
            <w:tcW w:w="5527" w:type="dxa"/>
          </w:tcPr>
          <w:p>
            <w:pPr>
              <w:pStyle w:val="TableParagraph"/>
              <w:spacing w:before="119"/>
              <w:ind w:left="153"/>
              <w:rPr>
                <w:sz w:val="18"/>
              </w:rPr>
            </w:pPr>
            <w:r>
              <w:rPr>
                <w:sz w:val="18"/>
              </w:rPr>
              <w:t>RNDr. Zdeněk Kadlas</w:t>
            </w:r>
          </w:p>
        </w:tc>
      </w:tr>
      <w:tr>
        <w:trPr>
          <w:trHeight w:val="324" w:hRule="atLeast"/>
        </w:trPr>
        <w:tc>
          <w:tcPr>
            <w:tcW w:w="4121" w:type="dxa"/>
          </w:tcPr>
          <w:p>
            <w:pPr>
              <w:pStyle w:val="TableParagraph"/>
              <w:spacing w:line="187" w:lineRule="exact" w:before="117"/>
              <w:ind w:left="71"/>
              <w:rPr>
                <w:sz w:val="18"/>
              </w:rPr>
            </w:pPr>
            <w:r>
              <w:rPr>
                <w:sz w:val="18"/>
              </w:rPr>
              <w:t>Životní prostředí</w:t>
            </w:r>
          </w:p>
        </w:tc>
        <w:tc>
          <w:tcPr>
            <w:tcW w:w="5527" w:type="dxa"/>
          </w:tcPr>
          <w:p>
            <w:pPr>
              <w:pStyle w:val="TableParagraph"/>
              <w:spacing w:line="187" w:lineRule="exact" w:before="117"/>
              <w:ind w:left="153"/>
              <w:rPr>
                <w:sz w:val="18"/>
              </w:rPr>
            </w:pPr>
            <w:r>
              <w:rPr>
                <w:sz w:val="18"/>
              </w:rPr>
              <w:t>Ing. Jan Hromek</w:t>
            </w:r>
          </w:p>
        </w:tc>
      </w:tr>
      <w:tr>
        <w:trPr>
          <w:trHeight w:val="534" w:hRule="atLeast"/>
        </w:trPr>
        <w:tc>
          <w:tcPr>
            <w:tcW w:w="4121" w:type="dxa"/>
          </w:tcPr>
          <w:p>
            <w:pPr>
              <w:pStyle w:val="TableParagraph"/>
              <w:spacing w:line="206" w:lineRule="exact" w:before="125"/>
              <w:ind w:left="71" w:right="1338"/>
              <w:rPr>
                <w:sz w:val="18"/>
              </w:rPr>
            </w:pPr>
            <w:r>
              <w:rPr>
                <w:sz w:val="18"/>
              </w:rPr>
              <w:t>Půdní fond, zemědělství, lesnictví Ochrana přírody a krajiny</w:t>
            </w:r>
          </w:p>
        </w:tc>
        <w:tc>
          <w:tcPr>
            <w:tcW w:w="5527" w:type="dxa"/>
          </w:tcPr>
          <w:p>
            <w:pPr>
              <w:pStyle w:val="TableParagraph"/>
              <w:spacing w:before="121"/>
              <w:ind w:left="153"/>
              <w:rPr>
                <w:sz w:val="18"/>
              </w:rPr>
            </w:pPr>
            <w:r>
              <w:rPr>
                <w:sz w:val="18"/>
              </w:rPr>
              <w:t>Ing. Jan Hromek</w:t>
            </w:r>
          </w:p>
        </w:tc>
      </w:tr>
      <w:tr>
        <w:trPr>
          <w:trHeight w:val="323" w:hRule="atLeast"/>
        </w:trPr>
        <w:tc>
          <w:tcPr>
            <w:tcW w:w="4121" w:type="dxa"/>
          </w:tcPr>
          <w:p>
            <w:pPr>
              <w:pStyle w:val="TableParagraph"/>
              <w:spacing w:line="187" w:lineRule="exact" w:before="116"/>
              <w:ind w:left="71"/>
              <w:rPr>
                <w:sz w:val="18"/>
              </w:rPr>
            </w:pPr>
            <w:r>
              <w:rPr>
                <w:sz w:val="18"/>
              </w:rPr>
              <w:t>Datová část</w:t>
            </w:r>
          </w:p>
        </w:tc>
        <w:tc>
          <w:tcPr>
            <w:tcW w:w="5527" w:type="dxa"/>
          </w:tcPr>
          <w:p>
            <w:pPr>
              <w:pStyle w:val="TableParagraph"/>
              <w:spacing w:line="187" w:lineRule="exact" w:before="116"/>
              <w:ind w:left="153"/>
              <w:rPr>
                <w:sz w:val="18"/>
              </w:rPr>
            </w:pPr>
            <w:r>
              <w:rPr>
                <w:sz w:val="18"/>
              </w:rPr>
              <w:t>Ing. arch. Jiří Plašil</w:t>
            </w:r>
          </w:p>
        </w:tc>
      </w:tr>
      <w:tr>
        <w:trPr>
          <w:trHeight w:val="328" w:hRule="atLeast"/>
        </w:trPr>
        <w:tc>
          <w:tcPr>
            <w:tcW w:w="4121" w:type="dxa"/>
          </w:tcPr>
          <w:p>
            <w:pPr>
              <w:pStyle w:val="TableParagraph"/>
              <w:spacing w:line="187" w:lineRule="exact" w:before="121"/>
              <w:ind w:left="71"/>
              <w:rPr>
                <w:sz w:val="18"/>
              </w:rPr>
            </w:pPr>
            <w:r>
              <w:rPr>
                <w:sz w:val="18"/>
              </w:rPr>
              <w:t>Grafické práce</w:t>
            </w:r>
          </w:p>
        </w:tc>
        <w:tc>
          <w:tcPr>
            <w:tcW w:w="5527" w:type="dxa"/>
          </w:tcPr>
          <w:p>
            <w:pPr>
              <w:pStyle w:val="TableParagraph"/>
              <w:spacing w:line="187" w:lineRule="exact" w:before="121"/>
              <w:ind w:left="153"/>
              <w:rPr>
                <w:sz w:val="18"/>
              </w:rPr>
            </w:pPr>
            <w:r>
              <w:rPr>
                <w:sz w:val="18"/>
              </w:rPr>
              <w:t>Romana Svobodová</w:t>
            </w:r>
          </w:p>
        </w:tc>
      </w:tr>
    </w:tbl>
    <w:p>
      <w:pPr>
        <w:pStyle w:val="BodyText"/>
        <w:ind w:left="0" w:firstLine="0"/>
        <w:jc w:val="left"/>
        <w:rPr>
          <w:b/>
          <w:sz w:val="30"/>
        </w:rPr>
      </w:pPr>
    </w:p>
    <w:p>
      <w:pPr>
        <w:pStyle w:val="BodyText"/>
        <w:ind w:left="0" w:firstLine="0"/>
        <w:jc w:val="left"/>
        <w:rPr>
          <w:b/>
          <w:sz w:val="30"/>
        </w:rPr>
      </w:pPr>
    </w:p>
    <w:p>
      <w:pPr>
        <w:tabs>
          <w:tab w:pos="1024" w:val="left" w:leader="none"/>
          <w:tab w:pos="9837" w:val="left" w:leader="none"/>
        </w:tabs>
        <w:spacing w:before="244"/>
        <w:ind w:left="143" w:right="0" w:firstLine="0"/>
        <w:jc w:val="left"/>
        <w:rPr>
          <w:b/>
          <w:sz w:val="26"/>
        </w:rPr>
      </w:pPr>
      <w:r>
        <w:rPr>
          <w:b/>
          <w:w w:val="99"/>
          <w:sz w:val="26"/>
          <w:shd w:fill="32CCCC" w:color="auto" w:val="clear"/>
        </w:rPr>
        <w:t> </w:t>
      </w:r>
      <w:r>
        <w:rPr>
          <w:b/>
          <w:sz w:val="26"/>
          <w:shd w:fill="32CCCC" w:color="auto" w:val="clear"/>
        </w:rPr>
        <w:tab/>
        <w:t>OBSAH GRAFICKÉ</w:t>
      </w:r>
      <w:r>
        <w:rPr>
          <w:b/>
          <w:spacing w:val="-8"/>
          <w:sz w:val="26"/>
          <w:shd w:fill="32CCCC" w:color="auto" w:val="clear"/>
        </w:rPr>
        <w:t> </w:t>
      </w:r>
      <w:r>
        <w:rPr>
          <w:b/>
          <w:sz w:val="26"/>
          <w:shd w:fill="32CCCC" w:color="auto" w:val="clear"/>
        </w:rPr>
        <w:t>ČÁSTI</w:t>
        <w:tab/>
      </w:r>
    </w:p>
    <w:p>
      <w:pPr>
        <w:pStyle w:val="BodyText"/>
        <w:spacing w:before="4"/>
        <w:ind w:left="0" w:firstLine="0"/>
        <w:jc w:val="left"/>
        <w:rPr>
          <w:b/>
        </w:r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2"/>
        <w:gridCol w:w="7512"/>
        <w:gridCol w:w="1274"/>
      </w:tblGrid>
      <w:tr>
        <w:trPr>
          <w:trHeight w:val="246" w:hRule="atLeast"/>
        </w:trPr>
        <w:tc>
          <w:tcPr>
            <w:tcW w:w="852" w:type="dxa"/>
            <w:shd w:val="clear" w:color="auto" w:fill="CCFFFF"/>
          </w:tcPr>
          <w:p>
            <w:pPr>
              <w:pStyle w:val="TableParagraph"/>
              <w:spacing w:line="194" w:lineRule="exact" w:before="32"/>
              <w:ind w:left="57"/>
              <w:rPr>
                <w:b/>
                <w:sz w:val="18"/>
              </w:rPr>
            </w:pPr>
            <w:r>
              <w:rPr>
                <w:b/>
                <w:sz w:val="18"/>
              </w:rPr>
              <w:t>číslo</w:t>
            </w:r>
          </w:p>
        </w:tc>
        <w:tc>
          <w:tcPr>
            <w:tcW w:w="7512" w:type="dxa"/>
            <w:shd w:val="clear" w:color="auto" w:fill="CCFFFF"/>
          </w:tcPr>
          <w:p>
            <w:pPr>
              <w:pStyle w:val="TableParagraph"/>
              <w:spacing w:line="194" w:lineRule="exact" w:before="32"/>
              <w:ind w:left="57"/>
              <w:rPr>
                <w:b/>
                <w:sz w:val="18"/>
              </w:rPr>
            </w:pPr>
            <w:r>
              <w:rPr>
                <w:b/>
                <w:sz w:val="18"/>
              </w:rPr>
              <w:t>název výkresu</w:t>
            </w:r>
          </w:p>
        </w:tc>
        <w:tc>
          <w:tcPr>
            <w:tcW w:w="1274" w:type="dxa"/>
            <w:shd w:val="clear" w:color="auto" w:fill="CCFFFF"/>
          </w:tcPr>
          <w:p>
            <w:pPr>
              <w:pStyle w:val="TableParagraph"/>
              <w:spacing w:line="194" w:lineRule="exact" w:before="32"/>
              <w:ind w:left="292" w:right="281"/>
              <w:jc w:val="center"/>
              <w:rPr>
                <w:b/>
                <w:sz w:val="18"/>
              </w:rPr>
            </w:pPr>
            <w:r>
              <w:rPr>
                <w:b/>
                <w:sz w:val="18"/>
              </w:rPr>
              <w:t>měřítko</w:t>
            </w:r>
          </w:p>
        </w:tc>
      </w:tr>
      <w:tr>
        <w:trPr>
          <w:trHeight w:val="256" w:hRule="atLeast"/>
        </w:trPr>
        <w:tc>
          <w:tcPr>
            <w:tcW w:w="852" w:type="dxa"/>
          </w:tcPr>
          <w:p>
            <w:pPr>
              <w:pStyle w:val="TableParagraph"/>
              <w:spacing w:line="194" w:lineRule="exact" w:before="42"/>
              <w:ind w:left="57"/>
              <w:rPr>
                <w:b/>
                <w:sz w:val="18"/>
              </w:rPr>
            </w:pPr>
            <w:r>
              <w:rPr>
                <w:b/>
                <w:w w:val="99"/>
                <w:sz w:val="18"/>
              </w:rPr>
              <w:t>1</w:t>
            </w:r>
          </w:p>
        </w:tc>
        <w:tc>
          <w:tcPr>
            <w:tcW w:w="7512" w:type="dxa"/>
          </w:tcPr>
          <w:p>
            <w:pPr>
              <w:pStyle w:val="TableParagraph"/>
              <w:spacing w:line="194" w:lineRule="exact" w:before="42"/>
              <w:ind w:left="57"/>
              <w:rPr>
                <w:b/>
                <w:sz w:val="18"/>
              </w:rPr>
            </w:pPr>
            <w:r>
              <w:rPr>
                <w:b/>
                <w:sz w:val="18"/>
              </w:rPr>
              <w:t>Výkres základního členění území</w:t>
            </w:r>
          </w:p>
        </w:tc>
        <w:tc>
          <w:tcPr>
            <w:tcW w:w="1274" w:type="dxa"/>
          </w:tcPr>
          <w:p>
            <w:pPr>
              <w:pStyle w:val="TableParagraph"/>
              <w:spacing w:line="194" w:lineRule="exact" w:before="42"/>
              <w:ind w:left="292" w:right="278"/>
              <w:jc w:val="center"/>
              <w:rPr>
                <w:b/>
                <w:sz w:val="18"/>
              </w:rPr>
            </w:pPr>
            <w:r>
              <w:rPr>
                <w:b/>
                <w:sz w:val="18"/>
              </w:rPr>
              <w:t>1:5 000</w:t>
            </w:r>
          </w:p>
        </w:tc>
      </w:tr>
      <w:tr>
        <w:trPr>
          <w:trHeight w:val="253" w:hRule="atLeast"/>
        </w:trPr>
        <w:tc>
          <w:tcPr>
            <w:tcW w:w="852" w:type="dxa"/>
          </w:tcPr>
          <w:p>
            <w:pPr>
              <w:pStyle w:val="TableParagraph"/>
              <w:spacing w:line="192" w:lineRule="exact" w:before="42"/>
              <w:ind w:left="57"/>
              <w:rPr>
                <w:b/>
                <w:sz w:val="18"/>
              </w:rPr>
            </w:pPr>
            <w:r>
              <w:rPr>
                <w:b/>
                <w:w w:val="99"/>
                <w:sz w:val="18"/>
              </w:rPr>
              <w:t>2</w:t>
            </w:r>
          </w:p>
        </w:tc>
        <w:tc>
          <w:tcPr>
            <w:tcW w:w="7512" w:type="dxa"/>
          </w:tcPr>
          <w:p>
            <w:pPr>
              <w:pStyle w:val="TableParagraph"/>
              <w:spacing w:line="192" w:lineRule="exact" w:before="42"/>
              <w:ind w:left="57"/>
              <w:rPr>
                <w:b/>
                <w:sz w:val="18"/>
              </w:rPr>
            </w:pPr>
            <w:r>
              <w:rPr>
                <w:b/>
                <w:sz w:val="18"/>
              </w:rPr>
              <w:t>Hlavní výkres</w:t>
            </w:r>
          </w:p>
        </w:tc>
        <w:tc>
          <w:tcPr>
            <w:tcW w:w="1274" w:type="dxa"/>
          </w:tcPr>
          <w:p>
            <w:pPr>
              <w:pStyle w:val="TableParagraph"/>
              <w:spacing w:line="192" w:lineRule="exact" w:before="42"/>
              <w:ind w:left="292" w:right="278"/>
              <w:jc w:val="center"/>
              <w:rPr>
                <w:b/>
                <w:sz w:val="18"/>
              </w:rPr>
            </w:pPr>
            <w:r>
              <w:rPr>
                <w:b/>
                <w:sz w:val="18"/>
              </w:rPr>
              <w:t>1:5 000</w:t>
            </w:r>
          </w:p>
        </w:tc>
      </w:tr>
      <w:tr>
        <w:trPr>
          <w:trHeight w:val="256" w:hRule="atLeast"/>
        </w:trPr>
        <w:tc>
          <w:tcPr>
            <w:tcW w:w="852" w:type="dxa"/>
          </w:tcPr>
          <w:p>
            <w:pPr>
              <w:pStyle w:val="TableParagraph"/>
              <w:spacing w:line="194" w:lineRule="exact" w:before="42"/>
              <w:ind w:left="57"/>
              <w:rPr>
                <w:b/>
                <w:sz w:val="18"/>
              </w:rPr>
            </w:pPr>
            <w:r>
              <w:rPr>
                <w:b/>
                <w:w w:val="99"/>
                <w:sz w:val="18"/>
              </w:rPr>
              <w:t>3</w:t>
            </w:r>
          </w:p>
        </w:tc>
        <w:tc>
          <w:tcPr>
            <w:tcW w:w="7512" w:type="dxa"/>
          </w:tcPr>
          <w:p>
            <w:pPr>
              <w:pStyle w:val="TableParagraph"/>
              <w:spacing w:line="194" w:lineRule="exact" w:before="42"/>
              <w:ind w:left="57"/>
              <w:rPr>
                <w:b/>
                <w:sz w:val="18"/>
              </w:rPr>
            </w:pPr>
            <w:r>
              <w:rPr>
                <w:b/>
                <w:sz w:val="18"/>
              </w:rPr>
              <w:t>Výkres koncepce technické infrastruktury</w:t>
            </w:r>
          </w:p>
        </w:tc>
        <w:tc>
          <w:tcPr>
            <w:tcW w:w="1274" w:type="dxa"/>
          </w:tcPr>
          <w:p>
            <w:pPr>
              <w:pStyle w:val="TableParagraph"/>
              <w:spacing w:line="194" w:lineRule="exact" w:before="42"/>
              <w:ind w:left="292" w:right="278"/>
              <w:jc w:val="center"/>
              <w:rPr>
                <w:b/>
                <w:sz w:val="18"/>
              </w:rPr>
            </w:pPr>
            <w:r>
              <w:rPr>
                <w:b/>
                <w:sz w:val="18"/>
              </w:rPr>
              <w:t>1:5 000</w:t>
            </w:r>
          </w:p>
        </w:tc>
      </w:tr>
      <w:tr>
        <w:trPr>
          <w:trHeight w:val="253" w:hRule="atLeast"/>
        </w:trPr>
        <w:tc>
          <w:tcPr>
            <w:tcW w:w="852" w:type="dxa"/>
          </w:tcPr>
          <w:p>
            <w:pPr>
              <w:pStyle w:val="TableParagraph"/>
              <w:spacing w:line="192" w:lineRule="exact" w:before="42"/>
              <w:ind w:left="57"/>
              <w:rPr>
                <w:b/>
                <w:sz w:val="18"/>
              </w:rPr>
            </w:pPr>
            <w:r>
              <w:rPr>
                <w:b/>
                <w:w w:val="99"/>
                <w:sz w:val="18"/>
              </w:rPr>
              <w:t>4</w:t>
            </w:r>
          </w:p>
        </w:tc>
        <w:tc>
          <w:tcPr>
            <w:tcW w:w="7512" w:type="dxa"/>
          </w:tcPr>
          <w:p>
            <w:pPr>
              <w:pStyle w:val="TableParagraph"/>
              <w:spacing w:line="192" w:lineRule="exact" w:before="42"/>
              <w:ind w:left="57"/>
              <w:rPr>
                <w:b/>
                <w:sz w:val="18"/>
              </w:rPr>
            </w:pPr>
            <w:r>
              <w:rPr>
                <w:b/>
                <w:sz w:val="18"/>
              </w:rPr>
              <w:t>Výkres veřejně prospěšných staveb, opatření a asanací</w:t>
            </w:r>
          </w:p>
        </w:tc>
        <w:tc>
          <w:tcPr>
            <w:tcW w:w="1274" w:type="dxa"/>
          </w:tcPr>
          <w:p>
            <w:pPr>
              <w:pStyle w:val="TableParagraph"/>
              <w:spacing w:line="192" w:lineRule="exact" w:before="42"/>
              <w:ind w:left="292" w:right="278"/>
              <w:jc w:val="center"/>
              <w:rPr>
                <w:b/>
                <w:sz w:val="18"/>
              </w:rPr>
            </w:pPr>
            <w:r>
              <w:rPr>
                <w:b/>
                <w:sz w:val="18"/>
              </w:rPr>
              <w:t>1:5 000</w:t>
            </w:r>
          </w:p>
        </w:tc>
      </w:tr>
      <w:tr>
        <w:trPr>
          <w:trHeight w:val="253" w:hRule="atLeast"/>
        </w:trPr>
        <w:tc>
          <w:tcPr>
            <w:tcW w:w="852" w:type="dxa"/>
          </w:tcPr>
          <w:p>
            <w:pPr>
              <w:pStyle w:val="TableParagraph"/>
              <w:spacing w:line="192" w:lineRule="exact" w:before="42"/>
              <w:ind w:left="57"/>
              <w:rPr>
                <w:b/>
                <w:sz w:val="18"/>
              </w:rPr>
            </w:pPr>
            <w:r>
              <w:rPr>
                <w:b/>
                <w:w w:val="99"/>
                <w:sz w:val="18"/>
              </w:rPr>
              <w:t>5</w:t>
            </w:r>
          </w:p>
        </w:tc>
        <w:tc>
          <w:tcPr>
            <w:tcW w:w="7512" w:type="dxa"/>
          </w:tcPr>
          <w:p>
            <w:pPr>
              <w:pStyle w:val="TableParagraph"/>
              <w:spacing w:line="192" w:lineRule="exact" w:before="42"/>
              <w:ind w:left="57"/>
              <w:rPr>
                <w:b/>
                <w:sz w:val="18"/>
              </w:rPr>
            </w:pPr>
            <w:r>
              <w:rPr>
                <w:b/>
                <w:sz w:val="18"/>
              </w:rPr>
              <w:t>Koordinační výkres</w:t>
            </w:r>
          </w:p>
        </w:tc>
        <w:tc>
          <w:tcPr>
            <w:tcW w:w="1274" w:type="dxa"/>
          </w:tcPr>
          <w:p>
            <w:pPr>
              <w:pStyle w:val="TableParagraph"/>
              <w:spacing w:line="192" w:lineRule="exact" w:before="42"/>
              <w:ind w:left="292" w:right="278"/>
              <w:jc w:val="center"/>
              <w:rPr>
                <w:b/>
                <w:sz w:val="18"/>
              </w:rPr>
            </w:pPr>
            <w:r>
              <w:rPr>
                <w:b/>
                <w:sz w:val="18"/>
              </w:rPr>
              <w:t>1:5 000</w:t>
            </w:r>
          </w:p>
        </w:tc>
      </w:tr>
    </w:tbl>
    <w:p>
      <w:pPr>
        <w:spacing w:after="0" w:line="192" w:lineRule="exact"/>
        <w:jc w:val="center"/>
        <w:rPr>
          <w:sz w:val="18"/>
        </w:rPr>
        <w:sectPr>
          <w:headerReference w:type="default" r:id="rId5"/>
          <w:footerReference w:type="default" r:id="rId6"/>
          <w:type w:val="continuous"/>
          <w:pgSz w:w="11900" w:h="16840"/>
          <w:pgMar w:header="557" w:footer="582" w:top="760" w:bottom="780" w:left="960" w:right="980"/>
          <w:pgNumType w:start="1"/>
        </w:sectPr>
      </w:pPr>
    </w:p>
    <w:p>
      <w:pPr>
        <w:pStyle w:val="BodyText"/>
        <w:spacing w:before="4"/>
        <w:ind w:left="0" w:firstLine="0"/>
        <w:jc w:val="left"/>
        <w:rPr>
          <w:b/>
        </w:rPr>
      </w:pPr>
    </w:p>
    <w:p>
      <w:pPr>
        <w:tabs>
          <w:tab w:pos="1024" w:val="left" w:leader="none"/>
          <w:tab w:pos="9837" w:val="left" w:leader="none"/>
        </w:tabs>
        <w:spacing w:before="99"/>
        <w:ind w:left="143" w:right="0" w:firstLine="0"/>
        <w:jc w:val="left"/>
        <w:rPr>
          <w:b/>
          <w:sz w:val="26"/>
        </w:rPr>
      </w:pPr>
      <w:r>
        <w:rPr>
          <w:b/>
          <w:w w:val="99"/>
          <w:sz w:val="26"/>
          <w:shd w:fill="32CCCC" w:color="auto" w:val="clear"/>
        </w:rPr>
        <w:t> </w:t>
      </w:r>
      <w:r>
        <w:rPr>
          <w:b/>
          <w:sz w:val="26"/>
          <w:shd w:fill="32CCCC" w:color="auto" w:val="clear"/>
        </w:rPr>
        <w:tab/>
        <w:t>OBSAH TEXTOVÉ</w:t>
      </w:r>
      <w:r>
        <w:rPr>
          <w:b/>
          <w:spacing w:val="-6"/>
          <w:sz w:val="26"/>
          <w:shd w:fill="32CCCC" w:color="auto" w:val="clear"/>
        </w:rPr>
        <w:t> </w:t>
      </w:r>
      <w:r>
        <w:rPr>
          <w:b/>
          <w:sz w:val="26"/>
          <w:shd w:fill="32CCCC" w:color="auto" w:val="clear"/>
        </w:rPr>
        <w:t>ČÁSTI</w:t>
        <w:tab/>
      </w:r>
    </w:p>
    <w:p>
      <w:pPr>
        <w:pStyle w:val="BodyText"/>
        <w:spacing w:before="4"/>
        <w:ind w:left="0" w:firstLine="0"/>
        <w:jc w:val="left"/>
        <w:rPr>
          <w:b/>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7714"/>
        <w:gridCol w:w="1078"/>
      </w:tblGrid>
      <w:tr>
        <w:trPr>
          <w:trHeight w:val="249" w:hRule="atLeast"/>
        </w:trPr>
        <w:tc>
          <w:tcPr>
            <w:tcW w:w="850" w:type="dxa"/>
            <w:shd w:val="clear" w:color="auto" w:fill="CCFFFF"/>
          </w:tcPr>
          <w:p>
            <w:pPr>
              <w:pStyle w:val="TableParagraph"/>
              <w:ind w:left="0"/>
              <w:rPr>
                <w:rFonts w:ascii="Times New Roman"/>
                <w:sz w:val="18"/>
              </w:rPr>
            </w:pPr>
          </w:p>
        </w:tc>
        <w:tc>
          <w:tcPr>
            <w:tcW w:w="7714" w:type="dxa"/>
            <w:shd w:val="clear" w:color="auto" w:fill="CCFFFF"/>
          </w:tcPr>
          <w:p>
            <w:pPr>
              <w:pStyle w:val="TableParagraph"/>
              <w:spacing w:line="194" w:lineRule="exact" w:before="35"/>
              <w:ind w:left="57"/>
              <w:rPr>
                <w:b/>
                <w:sz w:val="18"/>
              </w:rPr>
            </w:pPr>
            <w:r>
              <w:rPr>
                <w:b/>
                <w:sz w:val="18"/>
              </w:rPr>
              <w:t>kapitola</w:t>
            </w:r>
          </w:p>
        </w:tc>
        <w:tc>
          <w:tcPr>
            <w:tcW w:w="1078" w:type="dxa"/>
            <w:shd w:val="clear" w:color="auto" w:fill="CCFFFF"/>
          </w:tcPr>
          <w:p>
            <w:pPr>
              <w:pStyle w:val="TableParagraph"/>
              <w:spacing w:line="194" w:lineRule="exact" w:before="35"/>
              <w:ind w:left="248" w:right="239"/>
              <w:jc w:val="center"/>
              <w:rPr>
                <w:b/>
                <w:sz w:val="18"/>
              </w:rPr>
            </w:pPr>
            <w:r>
              <w:rPr>
                <w:b/>
                <w:sz w:val="18"/>
              </w:rPr>
              <w:t>strana</w:t>
            </w:r>
          </w:p>
        </w:tc>
      </w:tr>
      <w:tr>
        <w:trPr>
          <w:trHeight w:val="253" w:hRule="atLeast"/>
        </w:trPr>
        <w:tc>
          <w:tcPr>
            <w:tcW w:w="850" w:type="dxa"/>
          </w:tcPr>
          <w:p>
            <w:pPr>
              <w:pStyle w:val="TableParagraph"/>
              <w:ind w:left="0"/>
              <w:rPr>
                <w:rFonts w:ascii="Times New Roman"/>
                <w:sz w:val="18"/>
              </w:rPr>
            </w:pPr>
          </w:p>
        </w:tc>
        <w:tc>
          <w:tcPr>
            <w:tcW w:w="7714" w:type="dxa"/>
          </w:tcPr>
          <w:p>
            <w:pPr>
              <w:pStyle w:val="TableParagraph"/>
              <w:spacing w:line="192" w:lineRule="exact" w:before="42"/>
              <w:ind w:left="57"/>
              <w:rPr>
                <w:b/>
                <w:sz w:val="18"/>
              </w:rPr>
            </w:pPr>
            <w:r>
              <w:rPr>
                <w:b/>
                <w:sz w:val="18"/>
              </w:rPr>
              <w:t>Identifikační údaje, autorský kolektiv</w:t>
            </w:r>
          </w:p>
        </w:tc>
        <w:tc>
          <w:tcPr>
            <w:tcW w:w="1078" w:type="dxa"/>
          </w:tcPr>
          <w:p>
            <w:pPr>
              <w:pStyle w:val="TableParagraph"/>
              <w:spacing w:line="192" w:lineRule="exact" w:before="42"/>
              <w:ind w:left="4"/>
              <w:jc w:val="center"/>
              <w:rPr>
                <w:b/>
                <w:sz w:val="18"/>
              </w:rPr>
            </w:pPr>
            <w:r>
              <w:rPr>
                <w:b/>
                <w:w w:val="99"/>
                <w:sz w:val="18"/>
              </w:rPr>
              <w:t>1</w:t>
            </w:r>
          </w:p>
        </w:tc>
      </w:tr>
      <w:tr>
        <w:trPr>
          <w:trHeight w:val="253" w:hRule="atLeast"/>
        </w:trPr>
        <w:tc>
          <w:tcPr>
            <w:tcW w:w="850" w:type="dxa"/>
          </w:tcPr>
          <w:p>
            <w:pPr>
              <w:pStyle w:val="TableParagraph"/>
              <w:ind w:left="0"/>
              <w:rPr>
                <w:rFonts w:ascii="Times New Roman"/>
                <w:sz w:val="18"/>
              </w:rPr>
            </w:pPr>
          </w:p>
        </w:tc>
        <w:tc>
          <w:tcPr>
            <w:tcW w:w="7714" w:type="dxa"/>
          </w:tcPr>
          <w:p>
            <w:pPr>
              <w:pStyle w:val="TableParagraph"/>
              <w:spacing w:line="192" w:lineRule="exact" w:before="42"/>
              <w:ind w:left="57"/>
              <w:rPr>
                <w:b/>
                <w:sz w:val="18"/>
              </w:rPr>
            </w:pPr>
            <w:r>
              <w:rPr>
                <w:b/>
                <w:sz w:val="18"/>
              </w:rPr>
              <w:t>Obsah grafické části</w:t>
            </w:r>
          </w:p>
        </w:tc>
        <w:tc>
          <w:tcPr>
            <w:tcW w:w="1078" w:type="dxa"/>
          </w:tcPr>
          <w:p>
            <w:pPr>
              <w:pStyle w:val="TableParagraph"/>
              <w:spacing w:line="192" w:lineRule="exact" w:before="42"/>
              <w:ind w:left="4"/>
              <w:jc w:val="center"/>
              <w:rPr>
                <w:b/>
                <w:sz w:val="18"/>
              </w:rPr>
            </w:pPr>
            <w:r>
              <w:rPr>
                <w:b/>
                <w:w w:val="99"/>
                <w:sz w:val="18"/>
              </w:rPr>
              <w:t>1</w:t>
            </w:r>
          </w:p>
        </w:tc>
      </w:tr>
      <w:tr>
        <w:trPr>
          <w:trHeight w:val="256" w:hRule="atLeast"/>
        </w:trPr>
        <w:tc>
          <w:tcPr>
            <w:tcW w:w="850" w:type="dxa"/>
          </w:tcPr>
          <w:p>
            <w:pPr>
              <w:pStyle w:val="TableParagraph"/>
              <w:ind w:left="0"/>
              <w:rPr>
                <w:rFonts w:ascii="Times New Roman"/>
                <w:sz w:val="18"/>
              </w:rPr>
            </w:pPr>
          </w:p>
        </w:tc>
        <w:tc>
          <w:tcPr>
            <w:tcW w:w="7714" w:type="dxa"/>
          </w:tcPr>
          <w:p>
            <w:pPr>
              <w:pStyle w:val="TableParagraph"/>
              <w:spacing w:line="192" w:lineRule="exact" w:before="44"/>
              <w:ind w:left="57"/>
              <w:rPr>
                <w:b/>
                <w:sz w:val="18"/>
              </w:rPr>
            </w:pPr>
            <w:r>
              <w:rPr>
                <w:b/>
                <w:sz w:val="18"/>
              </w:rPr>
              <w:t>Obsah textové části</w:t>
            </w:r>
          </w:p>
        </w:tc>
        <w:tc>
          <w:tcPr>
            <w:tcW w:w="1078" w:type="dxa"/>
          </w:tcPr>
          <w:p>
            <w:pPr>
              <w:pStyle w:val="TableParagraph"/>
              <w:spacing w:line="192" w:lineRule="exact" w:before="44"/>
              <w:ind w:left="4"/>
              <w:jc w:val="center"/>
              <w:rPr>
                <w:b/>
                <w:sz w:val="18"/>
              </w:rPr>
            </w:pPr>
            <w:r>
              <w:rPr>
                <w:b/>
                <w:w w:val="99"/>
                <w:sz w:val="18"/>
              </w:rPr>
              <w:t>2</w:t>
            </w:r>
          </w:p>
        </w:tc>
      </w:tr>
      <w:tr>
        <w:trPr>
          <w:trHeight w:val="253" w:hRule="atLeast"/>
        </w:trPr>
        <w:tc>
          <w:tcPr>
            <w:tcW w:w="850" w:type="dxa"/>
          </w:tcPr>
          <w:p>
            <w:pPr>
              <w:pStyle w:val="TableParagraph"/>
              <w:spacing w:line="192" w:lineRule="exact" w:before="42"/>
              <w:ind w:left="57"/>
              <w:rPr>
                <w:b/>
                <w:sz w:val="18"/>
              </w:rPr>
            </w:pPr>
            <w:r>
              <w:rPr>
                <w:b/>
                <w:w w:val="99"/>
                <w:sz w:val="18"/>
              </w:rPr>
              <w:t>A</w:t>
            </w:r>
          </w:p>
        </w:tc>
        <w:tc>
          <w:tcPr>
            <w:tcW w:w="7714" w:type="dxa"/>
          </w:tcPr>
          <w:p>
            <w:pPr>
              <w:pStyle w:val="TableParagraph"/>
              <w:spacing w:line="192" w:lineRule="exact" w:before="42"/>
              <w:ind w:left="57"/>
              <w:rPr>
                <w:b/>
                <w:sz w:val="18"/>
              </w:rPr>
            </w:pPr>
            <w:r>
              <w:rPr>
                <w:b/>
                <w:sz w:val="18"/>
              </w:rPr>
              <w:t>Vymezení zastavěného území</w:t>
            </w:r>
          </w:p>
        </w:tc>
        <w:tc>
          <w:tcPr>
            <w:tcW w:w="1078" w:type="dxa"/>
          </w:tcPr>
          <w:p>
            <w:pPr>
              <w:pStyle w:val="TableParagraph"/>
              <w:spacing w:line="192" w:lineRule="exact" w:before="42"/>
              <w:ind w:left="4"/>
              <w:jc w:val="center"/>
              <w:rPr>
                <w:b/>
                <w:sz w:val="18"/>
              </w:rPr>
            </w:pPr>
            <w:r>
              <w:rPr>
                <w:b/>
                <w:w w:val="99"/>
                <w:sz w:val="18"/>
              </w:rPr>
              <w:t>3</w:t>
            </w:r>
          </w:p>
        </w:tc>
      </w:tr>
      <w:tr>
        <w:trPr>
          <w:trHeight w:val="256" w:hRule="atLeast"/>
        </w:trPr>
        <w:tc>
          <w:tcPr>
            <w:tcW w:w="850" w:type="dxa"/>
          </w:tcPr>
          <w:p>
            <w:pPr>
              <w:pStyle w:val="TableParagraph"/>
              <w:spacing w:line="194" w:lineRule="exact" w:before="42"/>
              <w:ind w:left="57"/>
              <w:rPr>
                <w:b/>
                <w:sz w:val="18"/>
              </w:rPr>
            </w:pPr>
            <w:r>
              <w:rPr>
                <w:b/>
                <w:w w:val="99"/>
                <w:sz w:val="18"/>
              </w:rPr>
              <w:t>B</w:t>
            </w:r>
          </w:p>
        </w:tc>
        <w:tc>
          <w:tcPr>
            <w:tcW w:w="7714" w:type="dxa"/>
          </w:tcPr>
          <w:p>
            <w:pPr>
              <w:pStyle w:val="TableParagraph"/>
              <w:spacing w:line="194" w:lineRule="exact" w:before="42"/>
              <w:ind w:left="57"/>
              <w:rPr>
                <w:b/>
                <w:sz w:val="18"/>
              </w:rPr>
            </w:pPr>
            <w:r>
              <w:rPr>
                <w:b/>
                <w:sz w:val="18"/>
              </w:rPr>
              <w:t>Koncepce rozvoje území města, ochrany a rozvoje jeho hodnot</w:t>
            </w:r>
          </w:p>
        </w:tc>
        <w:tc>
          <w:tcPr>
            <w:tcW w:w="1078" w:type="dxa"/>
          </w:tcPr>
          <w:p>
            <w:pPr>
              <w:pStyle w:val="TableParagraph"/>
              <w:spacing w:line="194" w:lineRule="exact" w:before="42"/>
              <w:ind w:left="4"/>
              <w:jc w:val="center"/>
              <w:rPr>
                <w:b/>
                <w:sz w:val="18"/>
              </w:rPr>
            </w:pPr>
            <w:r>
              <w:rPr>
                <w:b/>
                <w:w w:val="99"/>
                <w:sz w:val="18"/>
              </w:rPr>
              <w:t>4</w:t>
            </w:r>
          </w:p>
        </w:tc>
      </w:tr>
      <w:tr>
        <w:trPr>
          <w:trHeight w:val="253" w:hRule="atLeast"/>
        </w:trPr>
        <w:tc>
          <w:tcPr>
            <w:tcW w:w="850" w:type="dxa"/>
          </w:tcPr>
          <w:p>
            <w:pPr>
              <w:pStyle w:val="TableParagraph"/>
              <w:spacing w:line="187" w:lineRule="exact" w:before="47"/>
              <w:ind w:left="57"/>
              <w:rPr>
                <w:sz w:val="18"/>
              </w:rPr>
            </w:pPr>
            <w:r>
              <w:rPr>
                <w:sz w:val="18"/>
              </w:rPr>
              <w:t>B.1</w:t>
            </w:r>
          </w:p>
        </w:tc>
        <w:tc>
          <w:tcPr>
            <w:tcW w:w="7714" w:type="dxa"/>
          </w:tcPr>
          <w:p>
            <w:pPr>
              <w:pStyle w:val="TableParagraph"/>
              <w:spacing w:line="187" w:lineRule="exact" w:before="47"/>
              <w:ind w:left="56"/>
              <w:rPr>
                <w:sz w:val="18"/>
              </w:rPr>
            </w:pPr>
            <w:r>
              <w:rPr>
                <w:sz w:val="18"/>
              </w:rPr>
              <w:t>Úloha města v širším území</w:t>
            </w:r>
          </w:p>
        </w:tc>
        <w:tc>
          <w:tcPr>
            <w:tcW w:w="1078" w:type="dxa"/>
          </w:tcPr>
          <w:p>
            <w:pPr>
              <w:pStyle w:val="TableParagraph"/>
              <w:spacing w:line="187" w:lineRule="exact" w:before="47"/>
              <w:ind w:left="4"/>
              <w:jc w:val="center"/>
              <w:rPr>
                <w:sz w:val="18"/>
              </w:rPr>
            </w:pPr>
            <w:r>
              <w:rPr>
                <w:w w:val="99"/>
                <w:sz w:val="18"/>
              </w:rPr>
              <w:t>4</w:t>
            </w:r>
          </w:p>
        </w:tc>
      </w:tr>
      <w:tr>
        <w:trPr>
          <w:trHeight w:val="253" w:hRule="atLeast"/>
        </w:trPr>
        <w:tc>
          <w:tcPr>
            <w:tcW w:w="850" w:type="dxa"/>
          </w:tcPr>
          <w:p>
            <w:pPr>
              <w:pStyle w:val="TableParagraph"/>
              <w:spacing w:line="187" w:lineRule="exact" w:before="47"/>
              <w:ind w:left="57"/>
              <w:rPr>
                <w:sz w:val="18"/>
              </w:rPr>
            </w:pPr>
            <w:r>
              <w:rPr>
                <w:sz w:val="18"/>
              </w:rPr>
              <w:t>B.2</w:t>
            </w:r>
          </w:p>
        </w:tc>
        <w:tc>
          <w:tcPr>
            <w:tcW w:w="7714" w:type="dxa"/>
          </w:tcPr>
          <w:p>
            <w:pPr>
              <w:pStyle w:val="TableParagraph"/>
              <w:spacing w:line="187" w:lineRule="exact" w:before="47"/>
              <w:ind w:left="56"/>
              <w:rPr>
                <w:sz w:val="18"/>
              </w:rPr>
            </w:pPr>
            <w:r>
              <w:rPr>
                <w:sz w:val="18"/>
              </w:rPr>
              <w:t>Rozvoj území města, ochrana a rozvoj jeho hodnot</w:t>
            </w:r>
          </w:p>
        </w:tc>
        <w:tc>
          <w:tcPr>
            <w:tcW w:w="1078" w:type="dxa"/>
          </w:tcPr>
          <w:p>
            <w:pPr>
              <w:pStyle w:val="TableParagraph"/>
              <w:spacing w:line="187" w:lineRule="exact" w:before="47"/>
              <w:ind w:left="4"/>
              <w:jc w:val="center"/>
              <w:rPr>
                <w:sz w:val="18"/>
              </w:rPr>
            </w:pPr>
            <w:r>
              <w:rPr>
                <w:w w:val="99"/>
                <w:sz w:val="18"/>
              </w:rPr>
              <w:t>4</w:t>
            </w:r>
          </w:p>
        </w:tc>
      </w:tr>
      <w:tr>
        <w:trPr>
          <w:trHeight w:val="256" w:hRule="atLeast"/>
        </w:trPr>
        <w:tc>
          <w:tcPr>
            <w:tcW w:w="850" w:type="dxa"/>
          </w:tcPr>
          <w:p>
            <w:pPr>
              <w:pStyle w:val="TableParagraph"/>
              <w:spacing w:line="192" w:lineRule="exact" w:before="44"/>
              <w:ind w:left="57"/>
              <w:rPr>
                <w:b/>
                <w:sz w:val="18"/>
              </w:rPr>
            </w:pPr>
            <w:r>
              <w:rPr>
                <w:b/>
                <w:w w:val="99"/>
                <w:sz w:val="18"/>
              </w:rPr>
              <w:t>C</w:t>
            </w:r>
          </w:p>
        </w:tc>
        <w:tc>
          <w:tcPr>
            <w:tcW w:w="7714" w:type="dxa"/>
          </w:tcPr>
          <w:p>
            <w:pPr>
              <w:pStyle w:val="TableParagraph"/>
              <w:spacing w:line="192" w:lineRule="exact" w:before="44"/>
              <w:ind w:left="57"/>
              <w:rPr>
                <w:b/>
                <w:sz w:val="18"/>
              </w:rPr>
            </w:pPr>
            <w:r>
              <w:rPr>
                <w:b/>
                <w:sz w:val="18"/>
              </w:rPr>
              <w:t>Urbanistická koncepce města včetně urbanistické kompozice</w:t>
            </w:r>
          </w:p>
        </w:tc>
        <w:tc>
          <w:tcPr>
            <w:tcW w:w="1078" w:type="dxa"/>
          </w:tcPr>
          <w:p>
            <w:pPr>
              <w:pStyle w:val="TableParagraph"/>
              <w:spacing w:line="192" w:lineRule="exact" w:before="44"/>
              <w:ind w:left="248" w:right="239"/>
              <w:jc w:val="center"/>
              <w:rPr>
                <w:b/>
                <w:sz w:val="18"/>
              </w:rPr>
            </w:pPr>
            <w:r>
              <w:rPr>
                <w:b/>
                <w:sz w:val="18"/>
              </w:rPr>
              <w:t>12</w:t>
            </w:r>
          </w:p>
        </w:tc>
      </w:tr>
      <w:tr>
        <w:trPr>
          <w:trHeight w:val="253" w:hRule="atLeast"/>
        </w:trPr>
        <w:tc>
          <w:tcPr>
            <w:tcW w:w="850" w:type="dxa"/>
          </w:tcPr>
          <w:p>
            <w:pPr>
              <w:pStyle w:val="TableParagraph"/>
              <w:spacing w:line="187" w:lineRule="exact" w:before="47"/>
              <w:ind w:left="57"/>
              <w:rPr>
                <w:sz w:val="18"/>
              </w:rPr>
            </w:pPr>
            <w:r>
              <w:rPr>
                <w:sz w:val="18"/>
              </w:rPr>
              <w:t>C.1</w:t>
            </w:r>
          </w:p>
        </w:tc>
        <w:tc>
          <w:tcPr>
            <w:tcW w:w="7714" w:type="dxa"/>
          </w:tcPr>
          <w:p>
            <w:pPr>
              <w:pStyle w:val="TableParagraph"/>
              <w:spacing w:line="187" w:lineRule="exact" w:before="47"/>
              <w:ind w:left="57"/>
              <w:rPr>
                <w:sz w:val="18"/>
              </w:rPr>
            </w:pPr>
            <w:r>
              <w:rPr>
                <w:sz w:val="18"/>
              </w:rPr>
              <w:t>Urbanistická kompozice – prostorové uspořádání</w:t>
            </w:r>
          </w:p>
        </w:tc>
        <w:tc>
          <w:tcPr>
            <w:tcW w:w="1078" w:type="dxa"/>
          </w:tcPr>
          <w:p>
            <w:pPr>
              <w:pStyle w:val="TableParagraph"/>
              <w:spacing w:line="187" w:lineRule="exact" w:before="47"/>
              <w:ind w:left="248" w:right="239"/>
              <w:jc w:val="center"/>
              <w:rPr>
                <w:sz w:val="18"/>
              </w:rPr>
            </w:pPr>
            <w:r>
              <w:rPr>
                <w:sz w:val="18"/>
              </w:rPr>
              <w:t>12</w:t>
            </w:r>
          </w:p>
        </w:tc>
      </w:tr>
      <w:tr>
        <w:trPr>
          <w:trHeight w:val="256" w:hRule="atLeast"/>
        </w:trPr>
        <w:tc>
          <w:tcPr>
            <w:tcW w:w="850" w:type="dxa"/>
          </w:tcPr>
          <w:p>
            <w:pPr>
              <w:pStyle w:val="TableParagraph"/>
              <w:spacing w:line="189" w:lineRule="exact" w:before="47"/>
              <w:ind w:left="57"/>
              <w:rPr>
                <w:sz w:val="18"/>
              </w:rPr>
            </w:pPr>
            <w:r>
              <w:rPr>
                <w:sz w:val="18"/>
              </w:rPr>
              <w:t>C.2</w:t>
            </w:r>
          </w:p>
        </w:tc>
        <w:tc>
          <w:tcPr>
            <w:tcW w:w="7714" w:type="dxa"/>
          </w:tcPr>
          <w:p>
            <w:pPr>
              <w:pStyle w:val="TableParagraph"/>
              <w:spacing w:line="189" w:lineRule="exact" w:before="47"/>
              <w:ind w:left="57"/>
              <w:rPr>
                <w:sz w:val="18"/>
              </w:rPr>
            </w:pPr>
            <w:r>
              <w:rPr>
                <w:sz w:val="18"/>
              </w:rPr>
              <w:t>Funkční uspořádání</w:t>
            </w:r>
          </w:p>
        </w:tc>
        <w:tc>
          <w:tcPr>
            <w:tcW w:w="1078" w:type="dxa"/>
          </w:tcPr>
          <w:p>
            <w:pPr>
              <w:pStyle w:val="TableParagraph"/>
              <w:spacing w:line="189" w:lineRule="exact" w:before="47"/>
              <w:ind w:left="248" w:right="239"/>
              <w:jc w:val="center"/>
              <w:rPr>
                <w:sz w:val="18"/>
              </w:rPr>
            </w:pPr>
            <w:r>
              <w:rPr>
                <w:sz w:val="18"/>
              </w:rPr>
              <w:t>12</w:t>
            </w:r>
          </w:p>
        </w:tc>
      </w:tr>
      <w:tr>
        <w:trPr>
          <w:trHeight w:val="253" w:hRule="atLeast"/>
        </w:trPr>
        <w:tc>
          <w:tcPr>
            <w:tcW w:w="850" w:type="dxa"/>
          </w:tcPr>
          <w:p>
            <w:pPr>
              <w:pStyle w:val="TableParagraph"/>
              <w:spacing w:line="187" w:lineRule="exact" w:before="47"/>
              <w:ind w:left="57"/>
              <w:rPr>
                <w:sz w:val="18"/>
              </w:rPr>
            </w:pPr>
            <w:r>
              <w:rPr>
                <w:sz w:val="18"/>
              </w:rPr>
              <w:t>C.3</w:t>
            </w:r>
          </w:p>
        </w:tc>
        <w:tc>
          <w:tcPr>
            <w:tcW w:w="7714" w:type="dxa"/>
          </w:tcPr>
          <w:p>
            <w:pPr>
              <w:pStyle w:val="TableParagraph"/>
              <w:spacing w:line="187" w:lineRule="exact" w:before="47"/>
              <w:ind w:left="57"/>
              <w:rPr>
                <w:sz w:val="18"/>
              </w:rPr>
            </w:pPr>
            <w:r>
              <w:rPr>
                <w:sz w:val="18"/>
              </w:rPr>
              <w:t>Návrh zastavitelných ploch a ploch přestavby</w:t>
            </w:r>
          </w:p>
        </w:tc>
        <w:tc>
          <w:tcPr>
            <w:tcW w:w="1078" w:type="dxa"/>
          </w:tcPr>
          <w:p>
            <w:pPr>
              <w:pStyle w:val="TableParagraph"/>
              <w:spacing w:line="187" w:lineRule="exact" w:before="47"/>
              <w:ind w:left="248" w:right="239"/>
              <w:jc w:val="center"/>
              <w:rPr>
                <w:sz w:val="18"/>
              </w:rPr>
            </w:pPr>
            <w:r>
              <w:rPr>
                <w:sz w:val="18"/>
              </w:rPr>
              <w:t>17</w:t>
            </w:r>
          </w:p>
        </w:tc>
      </w:tr>
      <w:tr>
        <w:trPr>
          <w:trHeight w:val="253" w:hRule="atLeast"/>
        </w:trPr>
        <w:tc>
          <w:tcPr>
            <w:tcW w:w="850" w:type="dxa"/>
          </w:tcPr>
          <w:p>
            <w:pPr>
              <w:pStyle w:val="TableParagraph"/>
              <w:spacing w:line="187" w:lineRule="exact" w:before="47"/>
              <w:ind w:left="57"/>
              <w:rPr>
                <w:sz w:val="18"/>
              </w:rPr>
            </w:pPr>
            <w:r>
              <w:rPr>
                <w:sz w:val="18"/>
              </w:rPr>
              <w:t>C.4</w:t>
            </w:r>
          </w:p>
        </w:tc>
        <w:tc>
          <w:tcPr>
            <w:tcW w:w="7714" w:type="dxa"/>
          </w:tcPr>
          <w:p>
            <w:pPr>
              <w:pStyle w:val="TableParagraph"/>
              <w:spacing w:line="187" w:lineRule="exact" w:before="47"/>
              <w:ind w:left="57"/>
              <w:rPr>
                <w:sz w:val="18"/>
              </w:rPr>
            </w:pPr>
            <w:r>
              <w:rPr>
                <w:sz w:val="18"/>
              </w:rPr>
              <w:t>Návrh nezastavitelných ploch – systému sídelní zeleně</w:t>
            </w:r>
          </w:p>
        </w:tc>
        <w:tc>
          <w:tcPr>
            <w:tcW w:w="1078" w:type="dxa"/>
          </w:tcPr>
          <w:p>
            <w:pPr>
              <w:pStyle w:val="TableParagraph"/>
              <w:spacing w:line="187" w:lineRule="exact" w:before="47"/>
              <w:ind w:left="248" w:right="239"/>
              <w:jc w:val="center"/>
              <w:rPr>
                <w:sz w:val="18"/>
              </w:rPr>
            </w:pPr>
            <w:r>
              <w:rPr>
                <w:sz w:val="18"/>
              </w:rPr>
              <w:t>19</w:t>
            </w:r>
          </w:p>
        </w:tc>
      </w:tr>
      <w:tr>
        <w:trPr>
          <w:trHeight w:val="256" w:hRule="atLeast"/>
        </w:trPr>
        <w:tc>
          <w:tcPr>
            <w:tcW w:w="850" w:type="dxa"/>
          </w:tcPr>
          <w:p>
            <w:pPr>
              <w:pStyle w:val="TableParagraph"/>
              <w:spacing w:line="192" w:lineRule="exact" w:before="44"/>
              <w:ind w:left="57"/>
              <w:rPr>
                <w:b/>
                <w:sz w:val="18"/>
              </w:rPr>
            </w:pPr>
            <w:r>
              <w:rPr>
                <w:b/>
                <w:w w:val="99"/>
                <w:sz w:val="18"/>
              </w:rPr>
              <w:t>D</w:t>
            </w:r>
          </w:p>
        </w:tc>
        <w:tc>
          <w:tcPr>
            <w:tcW w:w="7714" w:type="dxa"/>
          </w:tcPr>
          <w:p>
            <w:pPr>
              <w:pStyle w:val="TableParagraph"/>
              <w:spacing w:line="192" w:lineRule="exact" w:before="44"/>
              <w:ind w:left="57"/>
              <w:rPr>
                <w:b/>
                <w:sz w:val="18"/>
              </w:rPr>
            </w:pPr>
            <w:r>
              <w:rPr>
                <w:b/>
                <w:sz w:val="18"/>
              </w:rPr>
              <w:t>Koncepce veřejné infrastruktury</w:t>
            </w:r>
          </w:p>
        </w:tc>
        <w:tc>
          <w:tcPr>
            <w:tcW w:w="1078" w:type="dxa"/>
          </w:tcPr>
          <w:p>
            <w:pPr>
              <w:pStyle w:val="TableParagraph"/>
              <w:spacing w:line="192" w:lineRule="exact" w:before="44"/>
              <w:ind w:left="248" w:right="239"/>
              <w:jc w:val="center"/>
              <w:rPr>
                <w:b/>
                <w:sz w:val="18"/>
              </w:rPr>
            </w:pPr>
            <w:r>
              <w:rPr>
                <w:b/>
                <w:sz w:val="18"/>
              </w:rPr>
              <w:t>20</w:t>
            </w:r>
          </w:p>
        </w:tc>
      </w:tr>
      <w:tr>
        <w:trPr>
          <w:trHeight w:val="253" w:hRule="atLeast"/>
        </w:trPr>
        <w:tc>
          <w:tcPr>
            <w:tcW w:w="850" w:type="dxa"/>
          </w:tcPr>
          <w:p>
            <w:pPr>
              <w:pStyle w:val="TableParagraph"/>
              <w:spacing w:line="187" w:lineRule="exact" w:before="47"/>
              <w:ind w:left="57"/>
              <w:rPr>
                <w:sz w:val="18"/>
              </w:rPr>
            </w:pPr>
            <w:r>
              <w:rPr>
                <w:sz w:val="18"/>
              </w:rPr>
              <w:t>D.1</w:t>
            </w:r>
          </w:p>
        </w:tc>
        <w:tc>
          <w:tcPr>
            <w:tcW w:w="7714" w:type="dxa"/>
          </w:tcPr>
          <w:p>
            <w:pPr>
              <w:pStyle w:val="TableParagraph"/>
              <w:spacing w:line="187" w:lineRule="exact" w:before="47"/>
              <w:ind w:left="57"/>
              <w:rPr>
                <w:sz w:val="18"/>
              </w:rPr>
            </w:pPr>
            <w:r>
              <w:rPr>
                <w:sz w:val="18"/>
              </w:rPr>
              <w:t>Dopravní infrastruktura</w:t>
            </w:r>
          </w:p>
        </w:tc>
        <w:tc>
          <w:tcPr>
            <w:tcW w:w="1078" w:type="dxa"/>
          </w:tcPr>
          <w:p>
            <w:pPr>
              <w:pStyle w:val="TableParagraph"/>
              <w:spacing w:line="187" w:lineRule="exact" w:before="47"/>
              <w:ind w:left="248" w:right="239"/>
              <w:jc w:val="center"/>
              <w:rPr>
                <w:sz w:val="18"/>
              </w:rPr>
            </w:pPr>
            <w:r>
              <w:rPr>
                <w:sz w:val="18"/>
              </w:rPr>
              <w:t>20</w:t>
            </w:r>
          </w:p>
        </w:tc>
      </w:tr>
      <w:tr>
        <w:trPr>
          <w:trHeight w:val="256" w:hRule="atLeast"/>
        </w:trPr>
        <w:tc>
          <w:tcPr>
            <w:tcW w:w="850" w:type="dxa"/>
          </w:tcPr>
          <w:p>
            <w:pPr>
              <w:pStyle w:val="TableParagraph"/>
              <w:spacing w:line="189" w:lineRule="exact" w:before="47"/>
              <w:ind w:left="57"/>
              <w:rPr>
                <w:sz w:val="18"/>
              </w:rPr>
            </w:pPr>
            <w:r>
              <w:rPr>
                <w:sz w:val="18"/>
              </w:rPr>
              <w:t>D.2</w:t>
            </w:r>
          </w:p>
        </w:tc>
        <w:tc>
          <w:tcPr>
            <w:tcW w:w="7714" w:type="dxa"/>
          </w:tcPr>
          <w:p>
            <w:pPr>
              <w:pStyle w:val="TableParagraph"/>
              <w:spacing w:line="189" w:lineRule="exact" w:before="47"/>
              <w:ind w:left="57"/>
              <w:rPr>
                <w:sz w:val="18"/>
              </w:rPr>
            </w:pPr>
            <w:r>
              <w:rPr>
                <w:sz w:val="18"/>
              </w:rPr>
              <w:t>Technická infrastruktura</w:t>
            </w:r>
          </w:p>
        </w:tc>
        <w:tc>
          <w:tcPr>
            <w:tcW w:w="1078" w:type="dxa"/>
          </w:tcPr>
          <w:p>
            <w:pPr>
              <w:pStyle w:val="TableParagraph"/>
              <w:spacing w:line="189" w:lineRule="exact" w:before="47"/>
              <w:ind w:left="248" w:right="239"/>
              <w:jc w:val="center"/>
              <w:rPr>
                <w:sz w:val="18"/>
              </w:rPr>
            </w:pPr>
            <w:r>
              <w:rPr>
                <w:sz w:val="18"/>
              </w:rPr>
              <w:t>25</w:t>
            </w:r>
          </w:p>
        </w:tc>
      </w:tr>
      <w:tr>
        <w:trPr>
          <w:trHeight w:val="253" w:hRule="atLeast"/>
        </w:trPr>
        <w:tc>
          <w:tcPr>
            <w:tcW w:w="850" w:type="dxa"/>
          </w:tcPr>
          <w:p>
            <w:pPr>
              <w:pStyle w:val="TableParagraph"/>
              <w:spacing w:line="187" w:lineRule="exact" w:before="47"/>
              <w:ind w:left="57"/>
              <w:rPr>
                <w:sz w:val="18"/>
              </w:rPr>
            </w:pPr>
            <w:r>
              <w:rPr>
                <w:sz w:val="18"/>
              </w:rPr>
              <w:t>D.3</w:t>
            </w:r>
          </w:p>
        </w:tc>
        <w:tc>
          <w:tcPr>
            <w:tcW w:w="7714" w:type="dxa"/>
          </w:tcPr>
          <w:p>
            <w:pPr>
              <w:pStyle w:val="TableParagraph"/>
              <w:spacing w:line="187" w:lineRule="exact" w:before="47"/>
              <w:ind w:left="57"/>
              <w:rPr>
                <w:sz w:val="18"/>
              </w:rPr>
            </w:pPr>
            <w:r>
              <w:rPr>
                <w:sz w:val="18"/>
              </w:rPr>
              <w:t>Občanské vybavení</w:t>
            </w:r>
          </w:p>
        </w:tc>
        <w:tc>
          <w:tcPr>
            <w:tcW w:w="1078" w:type="dxa"/>
          </w:tcPr>
          <w:p>
            <w:pPr>
              <w:pStyle w:val="TableParagraph"/>
              <w:spacing w:line="187" w:lineRule="exact" w:before="47"/>
              <w:ind w:left="248" w:right="239"/>
              <w:jc w:val="center"/>
              <w:rPr>
                <w:sz w:val="18"/>
              </w:rPr>
            </w:pPr>
            <w:r>
              <w:rPr>
                <w:sz w:val="18"/>
              </w:rPr>
              <w:t>28</w:t>
            </w:r>
          </w:p>
        </w:tc>
      </w:tr>
      <w:tr>
        <w:trPr>
          <w:trHeight w:val="256" w:hRule="atLeast"/>
        </w:trPr>
        <w:tc>
          <w:tcPr>
            <w:tcW w:w="850" w:type="dxa"/>
          </w:tcPr>
          <w:p>
            <w:pPr>
              <w:pStyle w:val="TableParagraph"/>
              <w:spacing w:line="189" w:lineRule="exact" w:before="47"/>
              <w:ind w:left="57"/>
              <w:rPr>
                <w:sz w:val="18"/>
              </w:rPr>
            </w:pPr>
            <w:r>
              <w:rPr>
                <w:sz w:val="18"/>
              </w:rPr>
              <w:t>D.4</w:t>
            </w:r>
          </w:p>
        </w:tc>
        <w:tc>
          <w:tcPr>
            <w:tcW w:w="7714" w:type="dxa"/>
          </w:tcPr>
          <w:p>
            <w:pPr>
              <w:pStyle w:val="TableParagraph"/>
              <w:spacing w:line="189" w:lineRule="exact" w:before="47"/>
              <w:ind w:left="57"/>
              <w:rPr>
                <w:sz w:val="18"/>
              </w:rPr>
            </w:pPr>
            <w:r>
              <w:rPr>
                <w:sz w:val="18"/>
              </w:rPr>
              <w:t>Veřejná prostranství</w:t>
            </w:r>
          </w:p>
        </w:tc>
        <w:tc>
          <w:tcPr>
            <w:tcW w:w="1078" w:type="dxa"/>
          </w:tcPr>
          <w:p>
            <w:pPr>
              <w:pStyle w:val="TableParagraph"/>
              <w:spacing w:line="189" w:lineRule="exact" w:before="47"/>
              <w:ind w:left="248" w:right="239"/>
              <w:jc w:val="center"/>
              <w:rPr>
                <w:sz w:val="18"/>
              </w:rPr>
            </w:pPr>
            <w:r>
              <w:rPr>
                <w:sz w:val="18"/>
              </w:rPr>
              <w:t>30</w:t>
            </w:r>
          </w:p>
        </w:tc>
      </w:tr>
      <w:tr>
        <w:trPr>
          <w:trHeight w:val="253" w:hRule="atLeast"/>
        </w:trPr>
        <w:tc>
          <w:tcPr>
            <w:tcW w:w="850" w:type="dxa"/>
          </w:tcPr>
          <w:p>
            <w:pPr>
              <w:pStyle w:val="TableParagraph"/>
              <w:spacing w:line="187" w:lineRule="exact" w:before="47"/>
              <w:ind w:left="57"/>
              <w:rPr>
                <w:sz w:val="18"/>
              </w:rPr>
            </w:pPr>
            <w:r>
              <w:rPr>
                <w:sz w:val="18"/>
              </w:rPr>
              <w:t>D.5</w:t>
            </w:r>
          </w:p>
        </w:tc>
        <w:tc>
          <w:tcPr>
            <w:tcW w:w="7714" w:type="dxa"/>
          </w:tcPr>
          <w:p>
            <w:pPr>
              <w:pStyle w:val="TableParagraph"/>
              <w:spacing w:line="187" w:lineRule="exact" w:before="47"/>
              <w:ind w:left="57"/>
              <w:rPr>
                <w:sz w:val="18"/>
              </w:rPr>
            </w:pPr>
            <w:r>
              <w:rPr>
                <w:sz w:val="18"/>
              </w:rPr>
              <w:t>Civilní ochrana, zvláštní zájmy</w:t>
            </w:r>
          </w:p>
        </w:tc>
        <w:tc>
          <w:tcPr>
            <w:tcW w:w="1078" w:type="dxa"/>
          </w:tcPr>
          <w:p>
            <w:pPr>
              <w:pStyle w:val="TableParagraph"/>
              <w:spacing w:line="187" w:lineRule="exact" w:before="47"/>
              <w:ind w:left="248" w:right="239"/>
              <w:jc w:val="center"/>
              <w:rPr>
                <w:sz w:val="18"/>
              </w:rPr>
            </w:pPr>
            <w:r>
              <w:rPr>
                <w:sz w:val="18"/>
              </w:rPr>
              <w:t>30</w:t>
            </w:r>
          </w:p>
        </w:tc>
      </w:tr>
      <w:tr>
        <w:trPr>
          <w:trHeight w:val="253" w:hRule="atLeast"/>
        </w:trPr>
        <w:tc>
          <w:tcPr>
            <w:tcW w:w="850" w:type="dxa"/>
          </w:tcPr>
          <w:p>
            <w:pPr>
              <w:pStyle w:val="TableParagraph"/>
              <w:spacing w:line="192" w:lineRule="exact" w:before="42"/>
              <w:ind w:left="57"/>
              <w:rPr>
                <w:b/>
                <w:sz w:val="18"/>
              </w:rPr>
            </w:pPr>
            <w:r>
              <w:rPr>
                <w:b/>
                <w:w w:val="99"/>
                <w:sz w:val="18"/>
              </w:rPr>
              <w:t>E</w:t>
            </w:r>
          </w:p>
        </w:tc>
        <w:tc>
          <w:tcPr>
            <w:tcW w:w="7714" w:type="dxa"/>
          </w:tcPr>
          <w:p>
            <w:pPr>
              <w:pStyle w:val="TableParagraph"/>
              <w:spacing w:line="192" w:lineRule="exact" w:before="42"/>
              <w:ind w:left="56"/>
              <w:rPr>
                <w:b/>
                <w:sz w:val="18"/>
              </w:rPr>
            </w:pPr>
            <w:r>
              <w:rPr>
                <w:b/>
                <w:sz w:val="18"/>
              </w:rPr>
              <w:t>Koncepce uspořádání krajiny</w:t>
            </w:r>
          </w:p>
        </w:tc>
        <w:tc>
          <w:tcPr>
            <w:tcW w:w="1078" w:type="dxa"/>
          </w:tcPr>
          <w:p>
            <w:pPr>
              <w:pStyle w:val="TableParagraph"/>
              <w:spacing w:line="192" w:lineRule="exact" w:before="42"/>
              <w:ind w:left="248" w:right="239"/>
              <w:jc w:val="center"/>
              <w:rPr>
                <w:b/>
                <w:sz w:val="18"/>
              </w:rPr>
            </w:pPr>
            <w:r>
              <w:rPr>
                <w:b/>
                <w:sz w:val="18"/>
              </w:rPr>
              <w:t>32</w:t>
            </w:r>
          </w:p>
        </w:tc>
      </w:tr>
      <w:tr>
        <w:trPr>
          <w:trHeight w:val="256" w:hRule="atLeast"/>
        </w:trPr>
        <w:tc>
          <w:tcPr>
            <w:tcW w:w="850" w:type="dxa"/>
          </w:tcPr>
          <w:p>
            <w:pPr>
              <w:pStyle w:val="TableParagraph"/>
              <w:spacing w:line="189" w:lineRule="exact" w:before="47"/>
              <w:ind w:left="57"/>
              <w:rPr>
                <w:sz w:val="18"/>
              </w:rPr>
            </w:pPr>
            <w:r>
              <w:rPr>
                <w:sz w:val="18"/>
              </w:rPr>
              <w:t>E.1</w:t>
            </w:r>
          </w:p>
        </w:tc>
        <w:tc>
          <w:tcPr>
            <w:tcW w:w="7714" w:type="dxa"/>
          </w:tcPr>
          <w:p>
            <w:pPr>
              <w:pStyle w:val="TableParagraph"/>
              <w:spacing w:line="189" w:lineRule="exact" w:before="47"/>
              <w:ind w:left="56"/>
              <w:rPr>
                <w:sz w:val="18"/>
              </w:rPr>
            </w:pPr>
            <w:r>
              <w:rPr>
                <w:sz w:val="18"/>
              </w:rPr>
              <w:t>Návrh podmínek pro využití ploch krajiny, návrh ploch změn v krajině</w:t>
            </w:r>
          </w:p>
        </w:tc>
        <w:tc>
          <w:tcPr>
            <w:tcW w:w="1078" w:type="dxa"/>
          </w:tcPr>
          <w:p>
            <w:pPr>
              <w:pStyle w:val="TableParagraph"/>
              <w:spacing w:line="189" w:lineRule="exact" w:before="47"/>
              <w:ind w:left="248" w:right="239"/>
              <w:jc w:val="center"/>
              <w:rPr>
                <w:sz w:val="18"/>
              </w:rPr>
            </w:pPr>
            <w:r>
              <w:rPr>
                <w:sz w:val="18"/>
              </w:rPr>
              <w:t>32</w:t>
            </w:r>
          </w:p>
        </w:tc>
      </w:tr>
      <w:tr>
        <w:trPr>
          <w:trHeight w:val="253" w:hRule="atLeast"/>
        </w:trPr>
        <w:tc>
          <w:tcPr>
            <w:tcW w:w="850" w:type="dxa"/>
          </w:tcPr>
          <w:p>
            <w:pPr>
              <w:pStyle w:val="TableParagraph"/>
              <w:spacing w:line="187" w:lineRule="exact" w:before="47"/>
              <w:ind w:left="57"/>
              <w:rPr>
                <w:sz w:val="18"/>
              </w:rPr>
            </w:pPr>
            <w:r>
              <w:rPr>
                <w:sz w:val="18"/>
              </w:rPr>
              <w:t>E.2</w:t>
            </w:r>
          </w:p>
        </w:tc>
        <w:tc>
          <w:tcPr>
            <w:tcW w:w="7714" w:type="dxa"/>
          </w:tcPr>
          <w:p>
            <w:pPr>
              <w:pStyle w:val="TableParagraph"/>
              <w:spacing w:line="187" w:lineRule="exact" w:before="47"/>
              <w:ind w:left="56"/>
              <w:rPr>
                <w:sz w:val="18"/>
              </w:rPr>
            </w:pPr>
            <w:r>
              <w:rPr>
                <w:sz w:val="18"/>
              </w:rPr>
              <w:t>Územní systém ekologické stability</w:t>
            </w:r>
          </w:p>
        </w:tc>
        <w:tc>
          <w:tcPr>
            <w:tcW w:w="1078" w:type="dxa"/>
          </w:tcPr>
          <w:p>
            <w:pPr>
              <w:pStyle w:val="TableParagraph"/>
              <w:spacing w:line="187" w:lineRule="exact" w:before="47"/>
              <w:ind w:left="248" w:right="239"/>
              <w:jc w:val="center"/>
              <w:rPr>
                <w:sz w:val="18"/>
              </w:rPr>
            </w:pPr>
            <w:r>
              <w:rPr>
                <w:sz w:val="18"/>
              </w:rPr>
              <w:t>34</w:t>
            </w:r>
          </w:p>
        </w:tc>
      </w:tr>
      <w:tr>
        <w:trPr>
          <w:trHeight w:val="256" w:hRule="atLeast"/>
        </w:trPr>
        <w:tc>
          <w:tcPr>
            <w:tcW w:w="850" w:type="dxa"/>
          </w:tcPr>
          <w:p>
            <w:pPr>
              <w:pStyle w:val="TableParagraph"/>
              <w:spacing w:line="189" w:lineRule="exact" w:before="47"/>
              <w:ind w:left="57"/>
              <w:rPr>
                <w:sz w:val="18"/>
              </w:rPr>
            </w:pPr>
            <w:r>
              <w:rPr>
                <w:sz w:val="18"/>
              </w:rPr>
              <w:t>E.3</w:t>
            </w:r>
          </w:p>
        </w:tc>
        <w:tc>
          <w:tcPr>
            <w:tcW w:w="7714" w:type="dxa"/>
          </w:tcPr>
          <w:p>
            <w:pPr>
              <w:pStyle w:val="TableParagraph"/>
              <w:spacing w:line="189" w:lineRule="exact" w:before="47"/>
              <w:ind w:left="56"/>
              <w:rPr>
                <w:sz w:val="18"/>
              </w:rPr>
            </w:pPr>
            <w:r>
              <w:rPr>
                <w:sz w:val="18"/>
              </w:rPr>
              <w:t>Krajinná zeleň</w:t>
            </w:r>
          </w:p>
        </w:tc>
        <w:tc>
          <w:tcPr>
            <w:tcW w:w="1078" w:type="dxa"/>
          </w:tcPr>
          <w:p>
            <w:pPr>
              <w:pStyle w:val="TableParagraph"/>
              <w:spacing w:line="189" w:lineRule="exact" w:before="47"/>
              <w:ind w:left="248" w:right="239"/>
              <w:jc w:val="center"/>
              <w:rPr>
                <w:sz w:val="18"/>
              </w:rPr>
            </w:pPr>
            <w:r>
              <w:rPr>
                <w:sz w:val="18"/>
              </w:rPr>
              <w:t>36</w:t>
            </w:r>
          </w:p>
        </w:tc>
      </w:tr>
      <w:tr>
        <w:trPr>
          <w:trHeight w:val="253" w:hRule="atLeast"/>
        </w:trPr>
        <w:tc>
          <w:tcPr>
            <w:tcW w:w="850" w:type="dxa"/>
          </w:tcPr>
          <w:p>
            <w:pPr>
              <w:pStyle w:val="TableParagraph"/>
              <w:spacing w:line="187" w:lineRule="exact" w:before="47"/>
              <w:ind w:left="57"/>
              <w:rPr>
                <w:sz w:val="18"/>
              </w:rPr>
            </w:pPr>
            <w:r>
              <w:rPr>
                <w:sz w:val="18"/>
              </w:rPr>
              <w:t>E.4</w:t>
            </w:r>
          </w:p>
        </w:tc>
        <w:tc>
          <w:tcPr>
            <w:tcW w:w="7714" w:type="dxa"/>
          </w:tcPr>
          <w:p>
            <w:pPr>
              <w:pStyle w:val="TableParagraph"/>
              <w:spacing w:line="187" w:lineRule="exact" w:before="47"/>
              <w:ind w:left="56"/>
              <w:rPr>
                <w:sz w:val="18"/>
              </w:rPr>
            </w:pPr>
            <w:r>
              <w:rPr>
                <w:sz w:val="18"/>
              </w:rPr>
              <w:t>Vodní toky a nádrže, ochrana před povodněmi</w:t>
            </w:r>
          </w:p>
        </w:tc>
        <w:tc>
          <w:tcPr>
            <w:tcW w:w="1078" w:type="dxa"/>
          </w:tcPr>
          <w:p>
            <w:pPr>
              <w:pStyle w:val="TableParagraph"/>
              <w:spacing w:line="187" w:lineRule="exact" w:before="47"/>
              <w:ind w:left="248" w:right="239"/>
              <w:jc w:val="center"/>
              <w:rPr>
                <w:sz w:val="18"/>
              </w:rPr>
            </w:pPr>
            <w:r>
              <w:rPr>
                <w:sz w:val="18"/>
              </w:rPr>
              <w:t>36</w:t>
            </w:r>
          </w:p>
        </w:tc>
      </w:tr>
      <w:tr>
        <w:trPr>
          <w:trHeight w:val="253" w:hRule="atLeast"/>
        </w:trPr>
        <w:tc>
          <w:tcPr>
            <w:tcW w:w="850" w:type="dxa"/>
          </w:tcPr>
          <w:p>
            <w:pPr>
              <w:pStyle w:val="TableParagraph"/>
              <w:spacing w:line="187" w:lineRule="exact" w:before="47"/>
              <w:ind w:left="57"/>
              <w:rPr>
                <w:sz w:val="18"/>
              </w:rPr>
            </w:pPr>
            <w:r>
              <w:rPr>
                <w:sz w:val="18"/>
              </w:rPr>
              <w:t>E.5</w:t>
            </w:r>
          </w:p>
        </w:tc>
        <w:tc>
          <w:tcPr>
            <w:tcW w:w="7714" w:type="dxa"/>
          </w:tcPr>
          <w:p>
            <w:pPr>
              <w:pStyle w:val="TableParagraph"/>
              <w:spacing w:line="187" w:lineRule="exact" w:before="47"/>
              <w:ind w:left="56"/>
              <w:rPr>
                <w:sz w:val="18"/>
              </w:rPr>
            </w:pPr>
            <w:r>
              <w:rPr>
                <w:sz w:val="18"/>
              </w:rPr>
              <w:t>Protierozní opatření</w:t>
            </w:r>
          </w:p>
        </w:tc>
        <w:tc>
          <w:tcPr>
            <w:tcW w:w="1078" w:type="dxa"/>
          </w:tcPr>
          <w:p>
            <w:pPr>
              <w:pStyle w:val="TableParagraph"/>
              <w:spacing w:line="187" w:lineRule="exact" w:before="47"/>
              <w:ind w:left="248" w:right="239"/>
              <w:jc w:val="center"/>
              <w:rPr>
                <w:sz w:val="18"/>
              </w:rPr>
            </w:pPr>
            <w:r>
              <w:rPr>
                <w:sz w:val="18"/>
              </w:rPr>
              <w:t>38</w:t>
            </w:r>
          </w:p>
        </w:tc>
      </w:tr>
      <w:tr>
        <w:trPr>
          <w:trHeight w:val="256" w:hRule="atLeast"/>
        </w:trPr>
        <w:tc>
          <w:tcPr>
            <w:tcW w:w="850" w:type="dxa"/>
          </w:tcPr>
          <w:p>
            <w:pPr>
              <w:pStyle w:val="TableParagraph"/>
              <w:spacing w:line="187" w:lineRule="exact" w:before="49"/>
              <w:ind w:left="57"/>
              <w:rPr>
                <w:sz w:val="18"/>
              </w:rPr>
            </w:pPr>
            <w:r>
              <w:rPr>
                <w:sz w:val="18"/>
              </w:rPr>
              <w:t>E.6</w:t>
            </w:r>
          </w:p>
        </w:tc>
        <w:tc>
          <w:tcPr>
            <w:tcW w:w="7714" w:type="dxa"/>
          </w:tcPr>
          <w:p>
            <w:pPr>
              <w:pStyle w:val="TableParagraph"/>
              <w:spacing w:line="187" w:lineRule="exact" w:before="49"/>
              <w:ind w:left="56"/>
              <w:rPr>
                <w:sz w:val="18"/>
              </w:rPr>
            </w:pPr>
            <w:r>
              <w:rPr>
                <w:sz w:val="18"/>
              </w:rPr>
              <w:t>Prostupnost krajiny</w:t>
            </w:r>
          </w:p>
        </w:tc>
        <w:tc>
          <w:tcPr>
            <w:tcW w:w="1078" w:type="dxa"/>
          </w:tcPr>
          <w:p>
            <w:pPr>
              <w:pStyle w:val="TableParagraph"/>
              <w:spacing w:line="187" w:lineRule="exact" w:before="49"/>
              <w:ind w:left="248" w:right="239"/>
              <w:jc w:val="center"/>
              <w:rPr>
                <w:sz w:val="18"/>
              </w:rPr>
            </w:pPr>
            <w:r>
              <w:rPr>
                <w:sz w:val="18"/>
              </w:rPr>
              <w:t>38</w:t>
            </w:r>
          </w:p>
        </w:tc>
      </w:tr>
      <w:tr>
        <w:trPr>
          <w:trHeight w:val="253" w:hRule="atLeast"/>
        </w:trPr>
        <w:tc>
          <w:tcPr>
            <w:tcW w:w="850" w:type="dxa"/>
          </w:tcPr>
          <w:p>
            <w:pPr>
              <w:pStyle w:val="TableParagraph"/>
              <w:spacing w:line="187" w:lineRule="exact" w:before="47"/>
              <w:ind w:left="57"/>
              <w:rPr>
                <w:sz w:val="18"/>
              </w:rPr>
            </w:pPr>
            <w:r>
              <w:rPr>
                <w:sz w:val="18"/>
              </w:rPr>
              <w:t>E.7</w:t>
            </w:r>
          </w:p>
        </w:tc>
        <w:tc>
          <w:tcPr>
            <w:tcW w:w="7714" w:type="dxa"/>
          </w:tcPr>
          <w:p>
            <w:pPr>
              <w:pStyle w:val="TableParagraph"/>
              <w:spacing w:line="187" w:lineRule="exact" w:before="47"/>
              <w:ind w:left="56"/>
              <w:rPr>
                <w:sz w:val="18"/>
              </w:rPr>
            </w:pPr>
            <w:r>
              <w:rPr>
                <w:sz w:val="18"/>
              </w:rPr>
              <w:t>Dobývání nerostů</w:t>
            </w:r>
          </w:p>
        </w:tc>
        <w:tc>
          <w:tcPr>
            <w:tcW w:w="1078" w:type="dxa"/>
          </w:tcPr>
          <w:p>
            <w:pPr>
              <w:pStyle w:val="TableParagraph"/>
              <w:spacing w:line="187" w:lineRule="exact" w:before="47"/>
              <w:ind w:left="248" w:right="239"/>
              <w:jc w:val="center"/>
              <w:rPr>
                <w:sz w:val="18"/>
              </w:rPr>
            </w:pPr>
            <w:r>
              <w:rPr>
                <w:sz w:val="18"/>
              </w:rPr>
              <w:t>38</w:t>
            </w:r>
          </w:p>
        </w:tc>
      </w:tr>
      <w:tr>
        <w:trPr>
          <w:trHeight w:val="256" w:hRule="atLeast"/>
        </w:trPr>
        <w:tc>
          <w:tcPr>
            <w:tcW w:w="850" w:type="dxa"/>
          </w:tcPr>
          <w:p>
            <w:pPr>
              <w:pStyle w:val="TableParagraph"/>
              <w:spacing w:line="194" w:lineRule="exact" w:before="42"/>
              <w:ind w:left="57"/>
              <w:rPr>
                <w:b/>
                <w:sz w:val="18"/>
              </w:rPr>
            </w:pPr>
            <w:r>
              <w:rPr>
                <w:b/>
                <w:w w:val="99"/>
                <w:sz w:val="18"/>
              </w:rPr>
              <w:t>F</w:t>
            </w:r>
          </w:p>
        </w:tc>
        <w:tc>
          <w:tcPr>
            <w:tcW w:w="7714" w:type="dxa"/>
          </w:tcPr>
          <w:p>
            <w:pPr>
              <w:pStyle w:val="TableParagraph"/>
              <w:spacing w:line="194" w:lineRule="exact" w:before="42"/>
              <w:ind w:left="57"/>
              <w:rPr>
                <w:sz w:val="18"/>
              </w:rPr>
            </w:pPr>
            <w:r>
              <w:rPr>
                <w:b/>
                <w:sz w:val="18"/>
              </w:rPr>
              <w:t>Stanovení podmínek pro využití ploch s rozdílným způsobem využití </w:t>
            </w:r>
            <w:r>
              <w:rPr>
                <w:sz w:val="18"/>
              </w:rPr>
              <w:t>(též regulativy)</w:t>
            </w:r>
          </w:p>
        </w:tc>
        <w:tc>
          <w:tcPr>
            <w:tcW w:w="1078" w:type="dxa"/>
          </w:tcPr>
          <w:p>
            <w:pPr>
              <w:pStyle w:val="TableParagraph"/>
              <w:spacing w:line="194" w:lineRule="exact" w:before="42"/>
              <w:ind w:left="248" w:right="239"/>
              <w:jc w:val="center"/>
              <w:rPr>
                <w:b/>
                <w:sz w:val="18"/>
              </w:rPr>
            </w:pPr>
            <w:r>
              <w:rPr>
                <w:b/>
                <w:sz w:val="18"/>
              </w:rPr>
              <w:t>40</w:t>
            </w:r>
          </w:p>
        </w:tc>
      </w:tr>
      <w:tr>
        <w:trPr>
          <w:trHeight w:val="253" w:hRule="atLeast"/>
        </w:trPr>
        <w:tc>
          <w:tcPr>
            <w:tcW w:w="850" w:type="dxa"/>
          </w:tcPr>
          <w:p>
            <w:pPr>
              <w:pStyle w:val="TableParagraph"/>
              <w:spacing w:line="187" w:lineRule="exact" w:before="47"/>
              <w:ind w:left="57"/>
              <w:rPr>
                <w:sz w:val="18"/>
              </w:rPr>
            </w:pPr>
            <w:r>
              <w:rPr>
                <w:sz w:val="18"/>
              </w:rPr>
              <w:t>F.1</w:t>
            </w:r>
          </w:p>
        </w:tc>
        <w:tc>
          <w:tcPr>
            <w:tcW w:w="7714" w:type="dxa"/>
          </w:tcPr>
          <w:p>
            <w:pPr>
              <w:pStyle w:val="TableParagraph"/>
              <w:spacing w:line="187" w:lineRule="exact" w:before="47"/>
              <w:ind w:left="57"/>
              <w:rPr>
                <w:sz w:val="18"/>
              </w:rPr>
            </w:pPr>
            <w:r>
              <w:rPr>
                <w:sz w:val="18"/>
              </w:rPr>
              <w:t>Definice</w:t>
            </w:r>
          </w:p>
        </w:tc>
        <w:tc>
          <w:tcPr>
            <w:tcW w:w="1078" w:type="dxa"/>
          </w:tcPr>
          <w:p>
            <w:pPr>
              <w:pStyle w:val="TableParagraph"/>
              <w:spacing w:line="187" w:lineRule="exact" w:before="47"/>
              <w:ind w:left="248" w:right="239"/>
              <w:jc w:val="center"/>
              <w:rPr>
                <w:sz w:val="18"/>
              </w:rPr>
            </w:pPr>
            <w:r>
              <w:rPr>
                <w:sz w:val="18"/>
              </w:rPr>
              <w:t>40</w:t>
            </w:r>
          </w:p>
        </w:tc>
      </w:tr>
      <w:tr>
        <w:trPr>
          <w:trHeight w:val="253" w:hRule="atLeast"/>
        </w:trPr>
        <w:tc>
          <w:tcPr>
            <w:tcW w:w="850" w:type="dxa"/>
          </w:tcPr>
          <w:p>
            <w:pPr>
              <w:pStyle w:val="TableParagraph"/>
              <w:spacing w:line="187" w:lineRule="exact" w:before="47"/>
              <w:ind w:left="57"/>
              <w:rPr>
                <w:sz w:val="18"/>
              </w:rPr>
            </w:pPr>
            <w:r>
              <w:rPr>
                <w:sz w:val="18"/>
              </w:rPr>
              <w:t>F.2</w:t>
            </w:r>
          </w:p>
        </w:tc>
        <w:tc>
          <w:tcPr>
            <w:tcW w:w="7714" w:type="dxa"/>
          </w:tcPr>
          <w:p>
            <w:pPr>
              <w:pStyle w:val="TableParagraph"/>
              <w:spacing w:line="187" w:lineRule="exact" w:before="47"/>
              <w:ind w:left="57"/>
              <w:rPr>
                <w:sz w:val="18"/>
              </w:rPr>
            </w:pPr>
            <w:r>
              <w:rPr>
                <w:sz w:val="18"/>
              </w:rPr>
              <w:t>Funkční využití ploch s rozdílným způsobem využití</w:t>
            </w:r>
          </w:p>
        </w:tc>
        <w:tc>
          <w:tcPr>
            <w:tcW w:w="1078" w:type="dxa"/>
          </w:tcPr>
          <w:p>
            <w:pPr>
              <w:pStyle w:val="TableParagraph"/>
              <w:spacing w:line="187" w:lineRule="exact" w:before="47"/>
              <w:ind w:left="248" w:right="239"/>
              <w:jc w:val="center"/>
              <w:rPr>
                <w:sz w:val="18"/>
              </w:rPr>
            </w:pPr>
            <w:r>
              <w:rPr>
                <w:sz w:val="18"/>
              </w:rPr>
              <w:t>41</w:t>
            </w:r>
          </w:p>
        </w:tc>
      </w:tr>
      <w:tr>
        <w:trPr>
          <w:trHeight w:val="256" w:hRule="atLeast"/>
        </w:trPr>
        <w:tc>
          <w:tcPr>
            <w:tcW w:w="850" w:type="dxa"/>
          </w:tcPr>
          <w:p>
            <w:pPr>
              <w:pStyle w:val="TableParagraph"/>
              <w:spacing w:line="187" w:lineRule="exact" w:before="49"/>
              <w:ind w:left="57"/>
              <w:rPr>
                <w:sz w:val="18"/>
              </w:rPr>
            </w:pPr>
            <w:r>
              <w:rPr>
                <w:sz w:val="18"/>
              </w:rPr>
              <w:t>F.3</w:t>
            </w:r>
          </w:p>
        </w:tc>
        <w:tc>
          <w:tcPr>
            <w:tcW w:w="7714" w:type="dxa"/>
          </w:tcPr>
          <w:p>
            <w:pPr>
              <w:pStyle w:val="TableParagraph"/>
              <w:spacing w:line="187" w:lineRule="exact" w:before="49"/>
              <w:ind w:left="57"/>
              <w:rPr>
                <w:sz w:val="18"/>
              </w:rPr>
            </w:pPr>
            <w:r>
              <w:rPr>
                <w:sz w:val="18"/>
              </w:rPr>
              <w:t>Omezení využívání ploch s rozdílným způsobem využití</w:t>
            </w:r>
          </w:p>
        </w:tc>
        <w:tc>
          <w:tcPr>
            <w:tcW w:w="1078" w:type="dxa"/>
          </w:tcPr>
          <w:p>
            <w:pPr>
              <w:pStyle w:val="TableParagraph"/>
              <w:spacing w:line="187" w:lineRule="exact" w:before="49"/>
              <w:ind w:left="248" w:right="239"/>
              <w:jc w:val="center"/>
              <w:rPr>
                <w:sz w:val="18"/>
              </w:rPr>
            </w:pPr>
            <w:r>
              <w:rPr>
                <w:sz w:val="18"/>
              </w:rPr>
              <w:t>64</w:t>
            </w:r>
          </w:p>
        </w:tc>
      </w:tr>
      <w:tr>
        <w:trPr>
          <w:trHeight w:val="253" w:hRule="atLeast"/>
        </w:trPr>
        <w:tc>
          <w:tcPr>
            <w:tcW w:w="850" w:type="dxa"/>
          </w:tcPr>
          <w:p>
            <w:pPr>
              <w:pStyle w:val="TableParagraph"/>
              <w:spacing w:line="187" w:lineRule="exact" w:before="47"/>
              <w:ind w:left="57"/>
              <w:rPr>
                <w:sz w:val="18"/>
              </w:rPr>
            </w:pPr>
            <w:r>
              <w:rPr>
                <w:sz w:val="18"/>
              </w:rPr>
              <w:t>F.4</w:t>
            </w:r>
          </w:p>
        </w:tc>
        <w:tc>
          <w:tcPr>
            <w:tcW w:w="7714" w:type="dxa"/>
          </w:tcPr>
          <w:p>
            <w:pPr>
              <w:pStyle w:val="TableParagraph"/>
              <w:spacing w:line="187" w:lineRule="exact" w:before="47"/>
              <w:ind w:left="57"/>
              <w:rPr>
                <w:sz w:val="18"/>
              </w:rPr>
            </w:pPr>
            <w:r>
              <w:rPr>
                <w:sz w:val="18"/>
              </w:rPr>
              <w:t>Podmínky prostorového uspořádání</w:t>
            </w:r>
          </w:p>
        </w:tc>
        <w:tc>
          <w:tcPr>
            <w:tcW w:w="1078" w:type="dxa"/>
          </w:tcPr>
          <w:p>
            <w:pPr>
              <w:pStyle w:val="TableParagraph"/>
              <w:spacing w:line="187" w:lineRule="exact" w:before="47"/>
              <w:ind w:left="248" w:right="239"/>
              <w:jc w:val="center"/>
              <w:rPr>
                <w:sz w:val="18"/>
              </w:rPr>
            </w:pPr>
            <w:r>
              <w:rPr>
                <w:sz w:val="18"/>
              </w:rPr>
              <w:t>67</w:t>
            </w:r>
          </w:p>
        </w:tc>
      </w:tr>
      <w:tr>
        <w:trPr>
          <w:trHeight w:val="462" w:hRule="atLeast"/>
        </w:trPr>
        <w:tc>
          <w:tcPr>
            <w:tcW w:w="850" w:type="dxa"/>
          </w:tcPr>
          <w:p>
            <w:pPr>
              <w:pStyle w:val="TableParagraph"/>
              <w:spacing w:before="147"/>
              <w:ind w:left="57"/>
              <w:rPr>
                <w:b/>
                <w:sz w:val="18"/>
              </w:rPr>
            </w:pPr>
            <w:r>
              <w:rPr>
                <w:b/>
                <w:w w:val="99"/>
                <w:sz w:val="18"/>
              </w:rPr>
              <w:t>G</w:t>
            </w:r>
          </w:p>
        </w:tc>
        <w:tc>
          <w:tcPr>
            <w:tcW w:w="7714" w:type="dxa"/>
          </w:tcPr>
          <w:p>
            <w:pPr>
              <w:pStyle w:val="TableParagraph"/>
              <w:spacing w:line="210" w:lineRule="atLeast" w:before="39"/>
              <w:ind w:left="57" w:right="333"/>
              <w:rPr>
                <w:b/>
                <w:sz w:val="18"/>
              </w:rPr>
            </w:pPr>
            <w:r>
              <w:rPr>
                <w:b/>
                <w:sz w:val="18"/>
              </w:rPr>
              <w:t>Vymezení veřejně prospěšných staveb,…, pro které lze práva k pozemkům a stavbám vyvlastnit</w:t>
            </w:r>
          </w:p>
        </w:tc>
        <w:tc>
          <w:tcPr>
            <w:tcW w:w="1078" w:type="dxa"/>
          </w:tcPr>
          <w:p>
            <w:pPr>
              <w:pStyle w:val="TableParagraph"/>
              <w:spacing w:before="147"/>
              <w:ind w:left="248" w:right="239"/>
              <w:jc w:val="center"/>
              <w:rPr>
                <w:b/>
                <w:sz w:val="18"/>
              </w:rPr>
            </w:pPr>
            <w:r>
              <w:rPr>
                <w:b/>
                <w:sz w:val="18"/>
              </w:rPr>
              <w:t>70</w:t>
            </w:r>
          </w:p>
        </w:tc>
      </w:tr>
      <w:tr>
        <w:trPr>
          <w:trHeight w:val="253" w:hRule="atLeast"/>
        </w:trPr>
        <w:tc>
          <w:tcPr>
            <w:tcW w:w="850" w:type="dxa"/>
          </w:tcPr>
          <w:p>
            <w:pPr>
              <w:pStyle w:val="TableParagraph"/>
              <w:spacing w:line="192" w:lineRule="exact" w:before="42"/>
              <w:ind w:left="57"/>
              <w:rPr>
                <w:b/>
                <w:sz w:val="18"/>
              </w:rPr>
            </w:pPr>
            <w:r>
              <w:rPr>
                <w:b/>
                <w:w w:val="99"/>
                <w:sz w:val="18"/>
              </w:rPr>
              <w:t>H</w:t>
            </w:r>
          </w:p>
        </w:tc>
        <w:tc>
          <w:tcPr>
            <w:tcW w:w="7714" w:type="dxa"/>
          </w:tcPr>
          <w:p>
            <w:pPr>
              <w:pStyle w:val="TableParagraph"/>
              <w:spacing w:line="192" w:lineRule="exact" w:before="42"/>
              <w:ind w:left="57"/>
              <w:rPr>
                <w:b/>
                <w:sz w:val="18"/>
              </w:rPr>
            </w:pPr>
            <w:r>
              <w:rPr>
                <w:b/>
                <w:sz w:val="18"/>
              </w:rPr>
              <w:t>Vymezení veřejně prospěšných staveb,…, pro které lze uplatnit předkupní právo</w:t>
            </w:r>
          </w:p>
        </w:tc>
        <w:tc>
          <w:tcPr>
            <w:tcW w:w="1078" w:type="dxa"/>
          </w:tcPr>
          <w:p>
            <w:pPr>
              <w:pStyle w:val="TableParagraph"/>
              <w:spacing w:line="192" w:lineRule="exact" w:before="42"/>
              <w:ind w:left="248" w:right="239"/>
              <w:jc w:val="center"/>
              <w:rPr>
                <w:b/>
                <w:sz w:val="18"/>
              </w:rPr>
            </w:pPr>
            <w:r>
              <w:rPr>
                <w:b/>
                <w:sz w:val="18"/>
              </w:rPr>
              <w:t>71</w:t>
            </w:r>
          </w:p>
        </w:tc>
      </w:tr>
      <w:tr>
        <w:trPr>
          <w:trHeight w:val="256" w:hRule="atLeast"/>
        </w:trPr>
        <w:tc>
          <w:tcPr>
            <w:tcW w:w="850" w:type="dxa"/>
          </w:tcPr>
          <w:p>
            <w:pPr>
              <w:pStyle w:val="TableParagraph"/>
              <w:spacing w:line="194" w:lineRule="exact" w:before="42"/>
              <w:ind w:left="57"/>
              <w:rPr>
                <w:b/>
                <w:sz w:val="18"/>
              </w:rPr>
            </w:pPr>
            <w:r>
              <w:rPr>
                <w:b/>
                <w:w w:val="100"/>
                <w:sz w:val="18"/>
              </w:rPr>
              <w:t>I</w:t>
            </w:r>
          </w:p>
        </w:tc>
        <w:tc>
          <w:tcPr>
            <w:tcW w:w="7714" w:type="dxa"/>
          </w:tcPr>
          <w:p>
            <w:pPr>
              <w:pStyle w:val="TableParagraph"/>
              <w:spacing w:line="194" w:lineRule="exact" w:before="42"/>
              <w:ind w:left="57"/>
              <w:rPr>
                <w:b/>
                <w:sz w:val="18"/>
              </w:rPr>
            </w:pPr>
            <w:r>
              <w:rPr>
                <w:b/>
                <w:sz w:val="18"/>
              </w:rPr>
              <w:t>Stanovení kompenzačních opatření podle § 50 odst. 6 stavebního zákona</w:t>
            </w:r>
          </w:p>
        </w:tc>
        <w:tc>
          <w:tcPr>
            <w:tcW w:w="1078" w:type="dxa"/>
          </w:tcPr>
          <w:p>
            <w:pPr>
              <w:pStyle w:val="TableParagraph"/>
              <w:spacing w:line="194" w:lineRule="exact" w:before="42"/>
              <w:ind w:left="248" w:right="239"/>
              <w:jc w:val="center"/>
              <w:rPr>
                <w:b/>
                <w:sz w:val="18"/>
              </w:rPr>
            </w:pPr>
            <w:r>
              <w:rPr>
                <w:b/>
                <w:sz w:val="18"/>
              </w:rPr>
              <w:t>71</w:t>
            </w:r>
          </w:p>
        </w:tc>
      </w:tr>
      <w:tr>
        <w:trPr>
          <w:trHeight w:val="253" w:hRule="atLeast"/>
        </w:trPr>
        <w:tc>
          <w:tcPr>
            <w:tcW w:w="850" w:type="dxa"/>
          </w:tcPr>
          <w:p>
            <w:pPr>
              <w:pStyle w:val="TableParagraph"/>
              <w:spacing w:line="192" w:lineRule="exact" w:before="42"/>
              <w:ind w:left="57"/>
              <w:rPr>
                <w:b/>
                <w:sz w:val="18"/>
              </w:rPr>
            </w:pPr>
            <w:r>
              <w:rPr>
                <w:b/>
                <w:w w:val="99"/>
                <w:sz w:val="18"/>
              </w:rPr>
              <w:t>J</w:t>
            </w:r>
          </w:p>
        </w:tc>
        <w:tc>
          <w:tcPr>
            <w:tcW w:w="7714" w:type="dxa"/>
          </w:tcPr>
          <w:p>
            <w:pPr>
              <w:pStyle w:val="TableParagraph"/>
              <w:spacing w:line="192" w:lineRule="exact" w:before="42"/>
              <w:ind w:left="57"/>
              <w:rPr>
                <w:b/>
                <w:sz w:val="18"/>
              </w:rPr>
            </w:pPr>
            <w:r>
              <w:rPr>
                <w:b/>
                <w:sz w:val="18"/>
              </w:rPr>
              <w:t>Vymezení ploch a koridorů územních rezerv</w:t>
            </w:r>
          </w:p>
        </w:tc>
        <w:tc>
          <w:tcPr>
            <w:tcW w:w="1078" w:type="dxa"/>
          </w:tcPr>
          <w:p>
            <w:pPr>
              <w:pStyle w:val="TableParagraph"/>
              <w:spacing w:line="192" w:lineRule="exact" w:before="42"/>
              <w:ind w:left="248" w:right="239"/>
              <w:jc w:val="center"/>
              <w:rPr>
                <w:b/>
                <w:sz w:val="18"/>
              </w:rPr>
            </w:pPr>
            <w:r>
              <w:rPr>
                <w:b/>
                <w:sz w:val="18"/>
              </w:rPr>
              <w:t>72</w:t>
            </w:r>
          </w:p>
        </w:tc>
      </w:tr>
      <w:tr>
        <w:trPr>
          <w:trHeight w:val="462" w:hRule="atLeast"/>
        </w:trPr>
        <w:tc>
          <w:tcPr>
            <w:tcW w:w="850" w:type="dxa"/>
          </w:tcPr>
          <w:p>
            <w:pPr>
              <w:pStyle w:val="TableParagraph"/>
              <w:spacing w:before="145"/>
              <w:ind w:left="57"/>
              <w:rPr>
                <w:b/>
                <w:sz w:val="18"/>
              </w:rPr>
            </w:pPr>
            <w:r>
              <w:rPr>
                <w:b/>
                <w:w w:val="99"/>
                <w:sz w:val="18"/>
              </w:rPr>
              <w:t>K</w:t>
            </w:r>
          </w:p>
        </w:tc>
        <w:tc>
          <w:tcPr>
            <w:tcW w:w="7714" w:type="dxa"/>
          </w:tcPr>
          <w:p>
            <w:pPr>
              <w:pStyle w:val="TableParagraph"/>
              <w:spacing w:line="210" w:lineRule="atLeast" w:before="39"/>
              <w:ind w:left="57" w:right="265"/>
              <w:rPr>
                <w:b/>
                <w:sz w:val="18"/>
              </w:rPr>
            </w:pPr>
            <w:r>
              <w:rPr>
                <w:b/>
                <w:sz w:val="18"/>
              </w:rPr>
              <w:t>Vymezení ploch, ve kterých je rozhodování o změnách v území podmíněno dohodou o parcelaci</w:t>
            </w:r>
          </w:p>
        </w:tc>
        <w:tc>
          <w:tcPr>
            <w:tcW w:w="1078" w:type="dxa"/>
          </w:tcPr>
          <w:p>
            <w:pPr>
              <w:pStyle w:val="TableParagraph"/>
              <w:spacing w:before="42"/>
              <w:ind w:left="248" w:right="239"/>
              <w:jc w:val="center"/>
              <w:rPr>
                <w:b/>
                <w:sz w:val="18"/>
              </w:rPr>
            </w:pPr>
            <w:r>
              <w:rPr>
                <w:b/>
                <w:sz w:val="18"/>
              </w:rPr>
              <w:t>72</w:t>
            </w:r>
          </w:p>
        </w:tc>
      </w:tr>
      <w:tr>
        <w:trPr>
          <w:trHeight w:val="460" w:hRule="atLeast"/>
        </w:trPr>
        <w:tc>
          <w:tcPr>
            <w:tcW w:w="850" w:type="dxa"/>
          </w:tcPr>
          <w:p>
            <w:pPr>
              <w:pStyle w:val="TableParagraph"/>
              <w:spacing w:before="145"/>
              <w:ind w:left="57"/>
              <w:rPr>
                <w:b/>
                <w:sz w:val="18"/>
              </w:rPr>
            </w:pPr>
            <w:r>
              <w:rPr>
                <w:b/>
                <w:w w:val="99"/>
                <w:sz w:val="18"/>
              </w:rPr>
              <w:t>L</w:t>
            </w:r>
          </w:p>
        </w:tc>
        <w:tc>
          <w:tcPr>
            <w:tcW w:w="7714" w:type="dxa"/>
          </w:tcPr>
          <w:p>
            <w:pPr>
              <w:pStyle w:val="TableParagraph"/>
              <w:spacing w:line="206" w:lineRule="exact" w:before="46"/>
              <w:ind w:left="57" w:right="316" w:hanging="1"/>
              <w:rPr>
                <w:b/>
                <w:sz w:val="18"/>
              </w:rPr>
            </w:pPr>
            <w:r>
              <w:rPr>
                <w:b/>
                <w:sz w:val="18"/>
              </w:rPr>
              <w:t>Vymezení ploch a koridorů, ve kterých je rozhodování o změnách v území podmíněno zpracováním územní studie</w:t>
            </w:r>
          </w:p>
        </w:tc>
        <w:tc>
          <w:tcPr>
            <w:tcW w:w="1078" w:type="dxa"/>
          </w:tcPr>
          <w:p>
            <w:pPr>
              <w:pStyle w:val="TableParagraph"/>
              <w:spacing w:before="42"/>
              <w:ind w:left="248" w:right="239"/>
              <w:jc w:val="center"/>
              <w:rPr>
                <w:b/>
                <w:sz w:val="18"/>
              </w:rPr>
            </w:pPr>
            <w:r>
              <w:rPr>
                <w:b/>
                <w:sz w:val="18"/>
              </w:rPr>
              <w:t>72</w:t>
            </w:r>
          </w:p>
        </w:tc>
      </w:tr>
      <w:tr>
        <w:trPr>
          <w:trHeight w:val="462" w:hRule="atLeast"/>
        </w:trPr>
        <w:tc>
          <w:tcPr>
            <w:tcW w:w="850" w:type="dxa"/>
          </w:tcPr>
          <w:p>
            <w:pPr>
              <w:pStyle w:val="TableParagraph"/>
              <w:spacing w:before="147"/>
              <w:ind w:left="57"/>
              <w:rPr>
                <w:b/>
                <w:sz w:val="18"/>
              </w:rPr>
            </w:pPr>
            <w:r>
              <w:rPr>
                <w:b/>
                <w:w w:val="99"/>
                <w:sz w:val="18"/>
              </w:rPr>
              <w:t>M</w:t>
            </w:r>
          </w:p>
        </w:tc>
        <w:tc>
          <w:tcPr>
            <w:tcW w:w="7714" w:type="dxa"/>
          </w:tcPr>
          <w:p>
            <w:pPr>
              <w:pStyle w:val="TableParagraph"/>
              <w:spacing w:line="206" w:lineRule="exact" w:before="48"/>
              <w:ind w:left="57" w:right="316" w:hanging="1"/>
              <w:rPr>
                <w:b/>
                <w:sz w:val="18"/>
              </w:rPr>
            </w:pPr>
            <w:r>
              <w:rPr>
                <w:b/>
                <w:sz w:val="18"/>
              </w:rPr>
              <w:t>Vymezení ploch a koridorů, ve kterých je rozhodování o změnách v území podmíněno vydáním regulačního plánu</w:t>
            </w:r>
          </w:p>
        </w:tc>
        <w:tc>
          <w:tcPr>
            <w:tcW w:w="1078" w:type="dxa"/>
          </w:tcPr>
          <w:p>
            <w:pPr>
              <w:pStyle w:val="TableParagraph"/>
              <w:spacing w:before="44"/>
              <w:ind w:left="248" w:right="239"/>
              <w:jc w:val="center"/>
              <w:rPr>
                <w:b/>
                <w:sz w:val="18"/>
              </w:rPr>
            </w:pPr>
            <w:r>
              <w:rPr>
                <w:b/>
                <w:sz w:val="18"/>
              </w:rPr>
              <w:t>73</w:t>
            </w:r>
          </w:p>
        </w:tc>
      </w:tr>
      <w:tr>
        <w:trPr>
          <w:trHeight w:val="253" w:hRule="atLeast"/>
        </w:trPr>
        <w:tc>
          <w:tcPr>
            <w:tcW w:w="850" w:type="dxa"/>
          </w:tcPr>
          <w:p>
            <w:pPr>
              <w:pStyle w:val="TableParagraph"/>
              <w:spacing w:line="192" w:lineRule="exact" w:before="42"/>
              <w:ind w:left="57"/>
              <w:rPr>
                <w:b/>
                <w:sz w:val="18"/>
              </w:rPr>
            </w:pPr>
            <w:r>
              <w:rPr>
                <w:b/>
                <w:w w:val="99"/>
                <w:sz w:val="18"/>
              </w:rPr>
              <w:t>N</w:t>
            </w:r>
          </w:p>
        </w:tc>
        <w:tc>
          <w:tcPr>
            <w:tcW w:w="7714" w:type="dxa"/>
          </w:tcPr>
          <w:p>
            <w:pPr>
              <w:pStyle w:val="TableParagraph"/>
              <w:spacing w:line="192" w:lineRule="exact" w:before="42"/>
              <w:ind w:left="57"/>
              <w:rPr>
                <w:b/>
                <w:sz w:val="18"/>
              </w:rPr>
            </w:pPr>
            <w:r>
              <w:rPr>
                <w:b/>
                <w:sz w:val="18"/>
              </w:rPr>
              <w:t>Stanovení pořadí změn v území (etapizace)</w:t>
            </w:r>
          </w:p>
        </w:tc>
        <w:tc>
          <w:tcPr>
            <w:tcW w:w="1078" w:type="dxa"/>
          </w:tcPr>
          <w:p>
            <w:pPr>
              <w:pStyle w:val="TableParagraph"/>
              <w:spacing w:line="192" w:lineRule="exact" w:before="42"/>
              <w:ind w:left="248" w:right="239"/>
              <w:jc w:val="center"/>
              <w:rPr>
                <w:b/>
                <w:sz w:val="18"/>
              </w:rPr>
            </w:pPr>
            <w:r>
              <w:rPr>
                <w:b/>
                <w:sz w:val="18"/>
              </w:rPr>
              <w:t>73</w:t>
            </w:r>
          </w:p>
        </w:tc>
      </w:tr>
      <w:tr>
        <w:trPr>
          <w:trHeight w:val="256" w:hRule="atLeast"/>
        </w:trPr>
        <w:tc>
          <w:tcPr>
            <w:tcW w:w="850" w:type="dxa"/>
          </w:tcPr>
          <w:p>
            <w:pPr>
              <w:pStyle w:val="TableParagraph"/>
              <w:spacing w:line="192" w:lineRule="exact" w:before="44"/>
              <w:ind w:left="57"/>
              <w:rPr>
                <w:b/>
                <w:sz w:val="18"/>
              </w:rPr>
            </w:pPr>
            <w:r>
              <w:rPr>
                <w:b/>
                <w:w w:val="99"/>
                <w:sz w:val="18"/>
              </w:rPr>
              <w:t>O</w:t>
            </w:r>
          </w:p>
        </w:tc>
        <w:tc>
          <w:tcPr>
            <w:tcW w:w="7714" w:type="dxa"/>
          </w:tcPr>
          <w:p>
            <w:pPr>
              <w:pStyle w:val="TableParagraph"/>
              <w:spacing w:line="192" w:lineRule="exact" w:before="44"/>
              <w:ind w:left="57"/>
              <w:rPr>
                <w:b/>
                <w:sz w:val="18"/>
              </w:rPr>
            </w:pPr>
            <w:r>
              <w:rPr>
                <w:b/>
                <w:sz w:val="18"/>
              </w:rPr>
              <w:t>Vymezení architektonicky nebo urbanisticky významných staveb</w:t>
            </w:r>
          </w:p>
        </w:tc>
        <w:tc>
          <w:tcPr>
            <w:tcW w:w="1078" w:type="dxa"/>
          </w:tcPr>
          <w:p>
            <w:pPr>
              <w:pStyle w:val="TableParagraph"/>
              <w:spacing w:line="192" w:lineRule="exact" w:before="44"/>
              <w:ind w:left="248" w:right="239"/>
              <w:jc w:val="center"/>
              <w:rPr>
                <w:b/>
                <w:sz w:val="18"/>
              </w:rPr>
            </w:pPr>
            <w:r>
              <w:rPr>
                <w:b/>
                <w:sz w:val="18"/>
              </w:rPr>
              <w:t>73</w:t>
            </w:r>
          </w:p>
        </w:tc>
      </w:tr>
      <w:tr>
        <w:trPr>
          <w:trHeight w:val="253" w:hRule="atLeast"/>
        </w:trPr>
        <w:tc>
          <w:tcPr>
            <w:tcW w:w="850" w:type="dxa"/>
          </w:tcPr>
          <w:p>
            <w:pPr>
              <w:pStyle w:val="TableParagraph"/>
              <w:ind w:left="0"/>
              <w:rPr>
                <w:rFonts w:ascii="Times New Roman"/>
                <w:sz w:val="18"/>
              </w:rPr>
            </w:pPr>
          </w:p>
        </w:tc>
        <w:tc>
          <w:tcPr>
            <w:tcW w:w="7714" w:type="dxa"/>
          </w:tcPr>
          <w:p>
            <w:pPr>
              <w:pStyle w:val="TableParagraph"/>
              <w:spacing w:line="192" w:lineRule="exact" w:before="42"/>
              <w:ind w:left="57"/>
              <w:rPr>
                <w:b/>
                <w:sz w:val="18"/>
              </w:rPr>
            </w:pPr>
            <w:r>
              <w:rPr>
                <w:b/>
                <w:sz w:val="18"/>
              </w:rPr>
              <w:t>Údaje o počtu listů textové části ÚP Chrastava a počtu výkresů grafické části</w:t>
            </w:r>
          </w:p>
        </w:tc>
        <w:tc>
          <w:tcPr>
            <w:tcW w:w="1078" w:type="dxa"/>
          </w:tcPr>
          <w:p>
            <w:pPr>
              <w:pStyle w:val="TableParagraph"/>
              <w:spacing w:line="192" w:lineRule="exact" w:before="42"/>
              <w:ind w:left="248" w:right="239"/>
              <w:jc w:val="center"/>
              <w:rPr>
                <w:b/>
                <w:sz w:val="18"/>
              </w:rPr>
            </w:pPr>
            <w:r>
              <w:rPr>
                <w:b/>
                <w:sz w:val="18"/>
              </w:rPr>
              <w:t>73</w:t>
            </w:r>
          </w:p>
        </w:tc>
      </w:tr>
    </w:tbl>
    <w:p>
      <w:pPr>
        <w:spacing w:after="0" w:line="192" w:lineRule="exact"/>
        <w:jc w:val="center"/>
        <w:rPr>
          <w:sz w:val="18"/>
        </w:rPr>
        <w:sectPr>
          <w:pgSz w:w="11900" w:h="16840"/>
          <w:pgMar w:header="557" w:footer="582" w:top="760" w:bottom="780" w:left="960" w:right="980"/>
        </w:sectPr>
      </w:pPr>
    </w:p>
    <w:p>
      <w:pPr>
        <w:pStyle w:val="BodyText"/>
        <w:ind w:left="0" w:firstLine="0"/>
        <w:jc w:val="left"/>
        <w:rPr>
          <w:b/>
          <w:sz w:val="20"/>
        </w:rPr>
      </w:pPr>
    </w:p>
    <w:p>
      <w:pPr>
        <w:pStyle w:val="BodyText"/>
        <w:ind w:left="0" w:firstLine="0"/>
        <w:jc w:val="left"/>
        <w:rPr>
          <w:b/>
          <w:sz w:val="20"/>
        </w:rPr>
      </w:pPr>
    </w:p>
    <w:p>
      <w:pPr>
        <w:pStyle w:val="BodyText"/>
        <w:spacing w:before="2"/>
        <w:ind w:left="0" w:firstLine="0"/>
        <w:jc w:val="left"/>
        <w:rPr>
          <w:b/>
          <w:sz w:val="12"/>
        </w:rPr>
      </w:pPr>
    </w:p>
    <w:p>
      <w:pPr>
        <w:pStyle w:val="BodyText"/>
        <w:ind w:left="144" w:firstLine="0"/>
        <w:jc w:val="left"/>
        <w:rPr>
          <w:sz w:val="20"/>
        </w:rPr>
      </w:pPr>
      <w:r>
        <w:rPr>
          <w:sz w:val="20"/>
        </w:rPr>
        <w:pict>
          <v:shape style="width:484.7pt;height:15pt;mso-position-horizontal-relative:char;mso-position-vertical-relative:line" type="#_x0000_t202" filled="true" fillcolor="#32cccc" stroked="false">
            <w10:anchorlock/>
            <v:textbox inset="0,0,0,0">
              <w:txbxContent>
                <w:p>
                  <w:pPr>
                    <w:tabs>
                      <w:tab w:pos="880" w:val="left" w:leader="none"/>
                    </w:tabs>
                    <w:spacing w:line="295" w:lineRule="exact" w:before="0"/>
                    <w:ind w:left="28" w:right="0" w:firstLine="0"/>
                    <w:jc w:val="left"/>
                    <w:rPr>
                      <w:b/>
                      <w:sz w:val="26"/>
                    </w:rPr>
                  </w:pPr>
                  <w:r>
                    <w:rPr>
                      <w:b/>
                      <w:sz w:val="26"/>
                    </w:rPr>
                    <w:t>A</w:t>
                    <w:tab/>
                    <w:t>VYMEZENÍ ZASTAVĚNÉHO ÚZEMÍ</w:t>
                  </w:r>
                </w:p>
              </w:txbxContent>
            </v:textbox>
            <v:fill type="solid"/>
          </v:shape>
        </w:pict>
      </w:r>
      <w:r>
        <w:rPr>
          <w:sz w:val="20"/>
        </w:rPr>
      </w:r>
    </w:p>
    <w:p>
      <w:pPr>
        <w:pStyle w:val="ListParagraph"/>
        <w:numPr>
          <w:ilvl w:val="0"/>
          <w:numId w:val="1"/>
        </w:numPr>
        <w:tabs>
          <w:tab w:pos="1024" w:val="left" w:leader="none"/>
          <w:tab w:pos="1025" w:val="left" w:leader="none"/>
        </w:tabs>
        <w:spacing w:line="240" w:lineRule="auto" w:before="100" w:after="0"/>
        <w:ind w:left="1024" w:right="146" w:hanging="853"/>
        <w:jc w:val="both"/>
        <w:rPr>
          <w:sz w:val="22"/>
        </w:rPr>
      </w:pPr>
      <w:r>
        <w:rPr>
          <w:b/>
          <w:sz w:val="22"/>
        </w:rPr>
        <w:t>Řešeným územím </w:t>
      </w:r>
      <w:r>
        <w:rPr>
          <w:sz w:val="22"/>
        </w:rPr>
        <w:t>(dále též ř.ú.) Územního plánu Chrastava (dále též ÚP, územní plán) je celé správní území města Chrastava, které je rozděleno do sedmi katastrálních území o celkové rozloze 2.746,23</w:t>
      </w:r>
      <w:r>
        <w:rPr>
          <w:spacing w:val="-3"/>
          <w:sz w:val="22"/>
        </w:rPr>
        <w:t> </w:t>
      </w:r>
      <w:r>
        <w:rPr>
          <w:sz w:val="22"/>
        </w:rPr>
        <w:t>ha.</w:t>
      </w:r>
    </w:p>
    <w:p>
      <w:pPr>
        <w:pStyle w:val="ListParagraph"/>
        <w:numPr>
          <w:ilvl w:val="0"/>
          <w:numId w:val="1"/>
        </w:numPr>
        <w:tabs>
          <w:tab w:pos="1024" w:val="left" w:leader="none"/>
          <w:tab w:pos="1025" w:val="left" w:leader="none"/>
        </w:tabs>
        <w:spacing w:line="242" w:lineRule="auto" w:before="119" w:after="0"/>
        <w:ind w:left="1024" w:right="146" w:hanging="853"/>
        <w:jc w:val="both"/>
        <w:rPr>
          <w:sz w:val="22"/>
        </w:rPr>
      </w:pPr>
      <w:r>
        <w:rPr>
          <w:b/>
          <w:sz w:val="22"/>
        </w:rPr>
        <w:t>Zastavěné území </w:t>
      </w:r>
      <w:r>
        <w:rPr>
          <w:sz w:val="22"/>
        </w:rPr>
        <w:t>na správním území města Chrastava se aktualizuje k 30.11.2020 jako soubor funkčně a dispozičně celistvých ploch zastavěných a významově nepodstatných ploch nezastavěných začleněných do něj na základě požadavků</w:t>
      </w:r>
      <w:r>
        <w:rPr>
          <w:spacing w:val="-3"/>
          <w:sz w:val="22"/>
        </w:rPr>
        <w:t> </w:t>
      </w:r>
      <w:r>
        <w:rPr>
          <w:sz w:val="22"/>
        </w:rPr>
        <w:t>SZ.</w:t>
      </w:r>
    </w:p>
    <w:p>
      <w:pPr>
        <w:pStyle w:val="ListParagraph"/>
        <w:numPr>
          <w:ilvl w:val="0"/>
          <w:numId w:val="1"/>
        </w:numPr>
        <w:tabs>
          <w:tab w:pos="1024" w:val="left" w:leader="none"/>
          <w:tab w:pos="1025" w:val="left" w:leader="none"/>
        </w:tabs>
        <w:spacing w:line="252" w:lineRule="exact" w:before="115" w:after="0"/>
        <w:ind w:left="1024" w:right="0" w:hanging="853"/>
        <w:jc w:val="both"/>
        <w:rPr>
          <w:sz w:val="22"/>
        </w:rPr>
      </w:pPr>
      <w:r>
        <w:rPr>
          <w:sz w:val="22"/>
        </w:rPr>
        <w:t>Zastavěné</w:t>
      </w:r>
      <w:r>
        <w:rPr>
          <w:spacing w:val="18"/>
          <w:sz w:val="22"/>
        </w:rPr>
        <w:t> </w:t>
      </w:r>
      <w:r>
        <w:rPr>
          <w:sz w:val="22"/>
        </w:rPr>
        <w:t>území</w:t>
      </w:r>
      <w:r>
        <w:rPr>
          <w:spacing w:val="14"/>
          <w:sz w:val="22"/>
        </w:rPr>
        <w:t> </w:t>
      </w:r>
      <w:r>
        <w:rPr>
          <w:sz w:val="22"/>
        </w:rPr>
        <w:t>je</w:t>
      </w:r>
      <w:r>
        <w:rPr>
          <w:spacing w:val="18"/>
          <w:sz w:val="22"/>
        </w:rPr>
        <w:t> </w:t>
      </w:r>
      <w:r>
        <w:rPr>
          <w:sz w:val="22"/>
        </w:rPr>
        <w:t>zakresleno</w:t>
      </w:r>
      <w:r>
        <w:rPr>
          <w:spacing w:val="18"/>
          <w:sz w:val="22"/>
        </w:rPr>
        <w:t> </w:t>
      </w:r>
      <w:r>
        <w:rPr>
          <w:sz w:val="22"/>
        </w:rPr>
        <w:t>především</w:t>
      </w:r>
      <w:r>
        <w:rPr>
          <w:spacing w:val="21"/>
          <w:sz w:val="22"/>
        </w:rPr>
        <w:t> </w:t>
      </w:r>
      <w:r>
        <w:rPr>
          <w:sz w:val="22"/>
        </w:rPr>
        <w:t>ve</w:t>
      </w:r>
      <w:r>
        <w:rPr>
          <w:spacing w:val="18"/>
          <w:sz w:val="22"/>
        </w:rPr>
        <w:t> </w:t>
      </w:r>
      <w:r>
        <w:rPr>
          <w:b/>
          <w:sz w:val="22"/>
        </w:rPr>
        <w:t>Výkresu</w:t>
      </w:r>
      <w:r>
        <w:rPr>
          <w:b/>
          <w:spacing w:val="18"/>
          <w:sz w:val="22"/>
        </w:rPr>
        <w:t> </w:t>
      </w:r>
      <w:r>
        <w:rPr>
          <w:b/>
          <w:sz w:val="22"/>
        </w:rPr>
        <w:t>základního</w:t>
      </w:r>
      <w:r>
        <w:rPr>
          <w:b/>
          <w:spacing w:val="18"/>
          <w:sz w:val="22"/>
        </w:rPr>
        <w:t> </w:t>
      </w:r>
      <w:r>
        <w:rPr>
          <w:b/>
          <w:sz w:val="22"/>
        </w:rPr>
        <w:t>členění</w:t>
      </w:r>
      <w:r>
        <w:rPr>
          <w:b/>
          <w:spacing w:val="19"/>
          <w:sz w:val="22"/>
        </w:rPr>
        <w:t> </w:t>
      </w:r>
      <w:r>
        <w:rPr>
          <w:b/>
          <w:sz w:val="22"/>
        </w:rPr>
        <w:t>území</w:t>
      </w:r>
      <w:r>
        <w:rPr>
          <w:b/>
          <w:spacing w:val="19"/>
          <w:sz w:val="22"/>
        </w:rPr>
        <w:t> </w:t>
      </w:r>
      <w:r>
        <w:rPr>
          <w:sz w:val="22"/>
        </w:rPr>
        <w:t>(1)</w:t>
      </w:r>
      <w:r>
        <w:rPr>
          <w:spacing w:val="17"/>
          <w:sz w:val="22"/>
        </w:rPr>
        <w:t> </w:t>
      </w:r>
      <w:r>
        <w:rPr>
          <w:sz w:val="22"/>
        </w:rPr>
        <w:t>a</w:t>
      </w:r>
    </w:p>
    <w:p>
      <w:pPr>
        <w:pStyle w:val="Heading3"/>
        <w:spacing w:line="252" w:lineRule="exact" w:before="0"/>
        <w:jc w:val="both"/>
        <w:rPr>
          <w:b w:val="0"/>
        </w:rPr>
      </w:pPr>
      <w:r>
        <w:rPr/>
        <w:t>Hlavním výkresu </w:t>
      </w:r>
      <w:r>
        <w:rPr>
          <w:b w:val="0"/>
        </w:rPr>
        <w:t>(2).</w:t>
      </w:r>
    </w:p>
    <w:p>
      <w:pPr>
        <w:spacing w:after="0" w:line="252" w:lineRule="exact"/>
        <w:jc w:val="both"/>
        <w:sectPr>
          <w:headerReference w:type="default" r:id="rId7"/>
          <w:footerReference w:type="default" r:id="rId8"/>
          <w:pgSz w:w="11900" w:h="16840"/>
          <w:pgMar w:header="557" w:footer="582" w:top="760" w:bottom="780" w:left="960" w:right="980"/>
          <w:pgNumType w:start="3"/>
        </w:sectPr>
      </w:pPr>
    </w:p>
    <w:p>
      <w:pPr>
        <w:pStyle w:val="BodyText"/>
        <w:ind w:left="0" w:firstLine="0"/>
        <w:jc w:val="left"/>
        <w:rPr>
          <w:sz w:val="20"/>
        </w:rPr>
      </w:pPr>
    </w:p>
    <w:p>
      <w:pPr>
        <w:pStyle w:val="BodyText"/>
        <w:ind w:left="0" w:firstLine="0"/>
        <w:jc w:val="left"/>
        <w:rPr>
          <w:sz w:val="20"/>
        </w:rPr>
      </w:pPr>
    </w:p>
    <w:p>
      <w:pPr>
        <w:pStyle w:val="BodyText"/>
        <w:spacing w:before="3"/>
        <w:ind w:left="0" w:firstLine="0"/>
        <w:jc w:val="left"/>
        <w:rPr>
          <w:sz w:val="12"/>
        </w:rPr>
      </w:pPr>
    </w:p>
    <w:p>
      <w:pPr>
        <w:pStyle w:val="BodyText"/>
        <w:ind w:left="144" w:firstLine="0"/>
        <w:jc w:val="left"/>
        <w:rPr>
          <w:sz w:val="20"/>
        </w:rPr>
      </w:pPr>
      <w:r>
        <w:rPr>
          <w:sz w:val="20"/>
        </w:rPr>
        <w:pict>
          <v:group style="width:484.7pt;height:30.15pt;mso-position-horizontal-relative:char;mso-position-vertical-relative:line" coordorigin="0,0" coordsize="9694,603">
            <v:shape style="position:absolute;left:0;top:2;width:9694;height:600" coordorigin="0,3" coordsize="9694,600" path="m9694,3l0,3,0,303,0,603,9694,603,9694,303,9694,3xe" filled="true" fillcolor="#32cccc" stroked="false">
              <v:path arrowok="t"/>
              <v:fill type="solid"/>
            </v:shape>
            <v:shape style="position:absolute;left:28;top:0;width:208;height:300" type="#_x0000_t202" filled="false" stroked="false">
              <v:textbox inset="0,0,0,0">
                <w:txbxContent>
                  <w:p>
                    <w:pPr>
                      <w:spacing w:line="298" w:lineRule="exact" w:before="0"/>
                      <w:ind w:left="0" w:right="0" w:firstLine="0"/>
                      <w:jc w:val="left"/>
                      <w:rPr>
                        <w:b/>
                        <w:sz w:val="26"/>
                      </w:rPr>
                    </w:pPr>
                    <w:r>
                      <w:rPr>
                        <w:b/>
                        <w:w w:val="99"/>
                        <w:sz w:val="26"/>
                      </w:rPr>
                      <w:t>B</w:t>
                    </w:r>
                  </w:p>
                </w:txbxContent>
              </v:textbox>
              <w10:wrap type="none"/>
            </v:shape>
            <v:shape style="position:absolute;left:880;top:0;width:8483;height:600" type="#_x0000_t202" filled="false" stroked="false">
              <v:textbox inset="0,0,0,0">
                <w:txbxContent>
                  <w:p>
                    <w:pPr>
                      <w:spacing w:before="0"/>
                      <w:ind w:left="0" w:right="-3" w:firstLine="0"/>
                      <w:jc w:val="left"/>
                      <w:rPr>
                        <w:b/>
                        <w:sz w:val="26"/>
                      </w:rPr>
                    </w:pPr>
                    <w:r>
                      <w:rPr>
                        <w:b/>
                        <w:sz w:val="26"/>
                      </w:rPr>
                      <w:t>KONCEPCE ROZVOJE ÚZEMÍ MĚSTA, OCHRANY A ROZVOJE JEHO HODNOT</w:t>
                    </w:r>
                  </w:p>
                </w:txbxContent>
              </v:textbox>
              <w10:wrap type="none"/>
            </v:shape>
          </v:group>
        </w:pict>
      </w:r>
      <w:r>
        <w:rPr>
          <w:sz w:val="20"/>
        </w:rPr>
      </w:r>
    </w:p>
    <w:p>
      <w:pPr>
        <w:pStyle w:val="BodyText"/>
        <w:spacing w:before="5"/>
        <w:ind w:left="0" w:firstLine="0"/>
        <w:jc w:val="left"/>
        <w:rPr>
          <w:sz w:val="23"/>
        </w:rPr>
      </w:pPr>
      <w:r>
        <w:rPr/>
        <w:pict>
          <v:shape style="position:absolute;margin-left:55.199997pt;margin-top:14.689867pt;width:484.7pt;height:15pt;mso-position-horizontal-relative:page;mso-position-vertical-relative:paragraph;z-index:-15726592;mso-wrap-distance-left:0;mso-wrap-distance-right:0" type="#_x0000_t202" filled="true" fillcolor="#ccffff" stroked="false">
            <v:textbox inset="0,0,0,0">
              <w:txbxContent>
                <w:p>
                  <w:pPr>
                    <w:tabs>
                      <w:tab w:pos="880" w:val="left" w:leader="none"/>
                    </w:tabs>
                    <w:spacing w:line="295" w:lineRule="exact" w:before="0"/>
                    <w:ind w:left="28" w:right="0" w:firstLine="0"/>
                    <w:jc w:val="left"/>
                    <w:rPr>
                      <w:b/>
                      <w:sz w:val="26"/>
                    </w:rPr>
                  </w:pPr>
                  <w:r>
                    <w:rPr>
                      <w:b/>
                      <w:sz w:val="26"/>
                    </w:rPr>
                    <w:t>B.1</w:t>
                    <w:tab/>
                    <w:t>ÚLOHA MĚSTA V ŠIRŠÍM</w:t>
                  </w:r>
                  <w:r>
                    <w:rPr>
                      <w:b/>
                      <w:spacing w:val="-8"/>
                      <w:sz w:val="26"/>
                    </w:rPr>
                    <w:t> </w:t>
                  </w:r>
                  <w:r>
                    <w:rPr>
                      <w:b/>
                      <w:sz w:val="26"/>
                    </w:rPr>
                    <w:t>ÚZEMÍ</w:t>
                  </w:r>
                </w:p>
              </w:txbxContent>
            </v:textbox>
            <v:fill type="solid"/>
            <w10:wrap type="topAndBottom"/>
          </v:shape>
        </w:pict>
      </w:r>
    </w:p>
    <w:p>
      <w:pPr>
        <w:pStyle w:val="ListParagraph"/>
        <w:numPr>
          <w:ilvl w:val="0"/>
          <w:numId w:val="1"/>
        </w:numPr>
        <w:tabs>
          <w:tab w:pos="1024" w:val="left" w:leader="none"/>
          <w:tab w:pos="1025" w:val="left" w:leader="none"/>
        </w:tabs>
        <w:spacing w:line="240" w:lineRule="auto" w:before="100" w:after="0"/>
        <w:ind w:left="1024" w:right="0" w:hanging="853"/>
        <w:jc w:val="left"/>
        <w:rPr>
          <w:b/>
          <w:sz w:val="22"/>
        </w:rPr>
      </w:pPr>
      <w:r>
        <w:rPr>
          <w:sz w:val="22"/>
        </w:rPr>
        <w:t>Při změnách využití území města Chrastava respektovat vazby v </w:t>
      </w:r>
      <w:r>
        <w:rPr>
          <w:b/>
          <w:sz w:val="22"/>
        </w:rPr>
        <w:t>širším</w:t>
      </w:r>
      <w:r>
        <w:rPr>
          <w:b/>
          <w:spacing w:val="-19"/>
          <w:sz w:val="22"/>
        </w:rPr>
        <w:t> </w:t>
      </w:r>
      <w:r>
        <w:rPr>
          <w:b/>
          <w:sz w:val="22"/>
        </w:rPr>
        <w:t>území:</w:t>
      </w:r>
    </w:p>
    <w:p>
      <w:pPr>
        <w:pStyle w:val="ListParagraph"/>
        <w:numPr>
          <w:ilvl w:val="0"/>
          <w:numId w:val="2"/>
        </w:numPr>
        <w:tabs>
          <w:tab w:pos="1024" w:val="left" w:leader="none"/>
          <w:tab w:pos="1025" w:val="left" w:leader="none"/>
        </w:tabs>
        <w:spacing w:line="240" w:lineRule="auto" w:before="59" w:after="0"/>
        <w:ind w:left="1024" w:right="0" w:hanging="853"/>
        <w:jc w:val="left"/>
        <w:rPr>
          <w:sz w:val="22"/>
        </w:rPr>
      </w:pPr>
      <w:r>
        <w:rPr>
          <w:b/>
          <w:sz w:val="22"/>
        </w:rPr>
        <w:t>mezinárodní vazby </w:t>
      </w:r>
      <w:r>
        <w:rPr>
          <w:sz w:val="22"/>
        </w:rPr>
        <w:t>Chrastavy jako jednoho z center Euroregionu</w:t>
      </w:r>
      <w:r>
        <w:rPr>
          <w:spacing w:val="-19"/>
          <w:sz w:val="22"/>
        </w:rPr>
        <w:t> </w:t>
      </w:r>
      <w:r>
        <w:rPr>
          <w:sz w:val="22"/>
        </w:rPr>
        <w:t>Nisa,</w:t>
      </w:r>
    </w:p>
    <w:p>
      <w:pPr>
        <w:pStyle w:val="ListParagraph"/>
        <w:numPr>
          <w:ilvl w:val="0"/>
          <w:numId w:val="2"/>
        </w:numPr>
        <w:tabs>
          <w:tab w:pos="1024" w:val="left" w:leader="none"/>
          <w:tab w:pos="1025" w:val="left" w:leader="none"/>
        </w:tabs>
        <w:spacing w:line="242" w:lineRule="auto" w:before="58" w:after="0"/>
        <w:ind w:left="1024" w:right="146" w:hanging="853"/>
        <w:jc w:val="left"/>
        <w:rPr>
          <w:sz w:val="22"/>
        </w:rPr>
      </w:pPr>
      <w:r>
        <w:rPr>
          <w:sz w:val="22"/>
        </w:rPr>
        <w:t>postavení Chrastavy ve struktuře osídlení jako </w:t>
      </w:r>
      <w:r>
        <w:rPr>
          <w:b/>
          <w:sz w:val="22"/>
        </w:rPr>
        <w:t>střediska 2.stupně </w:t>
      </w:r>
      <w:r>
        <w:rPr>
          <w:sz w:val="22"/>
        </w:rPr>
        <w:t>a přirozeného spádového</w:t>
      </w:r>
      <w:r>
        <w:rPr>
          <w:spacing w:val="-1"/>
          <w:sz w:val="22"/>
        </w:rPr>
        <w:t> </w:t>
      </w:r>
      <w:r>
        <w:rPr>
          <w:sz w:val="22"/>
        </w:rPr>
        <w:t>centra,</w:t>
      </w:r>
    </w:p>
    <w:p>
      <w:pPr>
        <w:pStyle w:val="ListParagraph"/>
        <w:numPr>
          <w:ilvl w:val="0"/>
          <w:numId w:val="2"/>
        </w:numPr>
        <w:tabs>
          <w:tab w:pos="1024" w:val="left" w:leader="none"/>
          <w:tab w:pos="1025" w:val="left" w:leader="none"/>
        </w:tabs>
        <w:spacing w:line="240" w:lineRule="auto" w:before="54" w:after="0"/>
        <w:ind w:left="1024" w:right="0" w:hanging="853"/>
        <w:jc w:val="left"/>
        <w:rPr>
          <w:sz w:val="22"/>
        </w:rPr>
      </w:pPr>
      <w:r>
        <w:rPr>
          <w:b/>
          <w:sz w:val="22"/>
        </w:rPr>
        <w:t>funkční kooperace </w:t>
      </w:r>
      <w:r>
        <w:rPr>
          <w:sz w:val="22"/>
        </w:rPr>
        <w:t>města s centry osídlení v Liberecko-Jablonecké sídelní</w:t>
      </w:r>
      <w:r>
        <w:rPr>
          <w:spacing w:val="-27"/>
          <w:sz w:val="22"/>
        </w:rPr>
        <w:t> </w:t>
      </w:r>
      <w:r>
        <w:rPr>
          <w:sz w:val="22"/>
        </w:rPr>
        <w:t>aglomeraci,</w:t>
      </w:r>
    </w:p>
    <w:p>
      <w:pPr>
        <w:pStyle w:val="ListParagraph"/>
        <w:numPr>
          <w:ilvl w:val="0"/>
          <w:numId w:val="2"/>
        </w:numPr>
        <w:tabs>
          <w:tab w:pos="1024" w:val="left" w:leader="none"/>
          <w:tab w:pos="1025" w:val="left" w:leader="none"/>
        </w:tabs>
        <w:spacing w:line="240" w:lineRule="auto" w:before="61" w:after="0"/>
        <w:ind w:left="1024" w:right="0" w:hanging="853"/>
        <w:jc w:val="left"/>
        <w:rPr>
          <w:sz w:val="22"/>
        </w:rPr>
      </w:pPr>
      <w:r>
        <w:rPr>
          <w:sz w:val="22"/>
        </w:rPr>
        <w:t>význam </w:t>
      </w:r>
      <w:r>
        <w:rPr>
          <w:b/>
          <w:sz w:val="22"/>
        </w:rPr>
        <w:t>polyfunkčního střediska </w:t>
      </w:r>
      <w:r>
        <w:rPr>
          <w:sz w:val="22"/>
        </w:rPr>
        <w:t>cestovního ruchu ve vazbě na okolní</w:t>
      </w:r>
      <w:r>
        <w:rPr>
          <w:spacing w:val="-17"/>
          <w:sz w:val="22"/>
        </w:rPr>
        <w:t> </w:t>
      </w:r>
      <w:r>
        <w:rPr>
          <w:sz w:val="22"/>
        </w:rPr>
        <w:t>střediska,</w:t>
      </w:r>
    </w:p>
    <w:p>
      <w:pPr>
        <w:pStyle w:val="ListParagraph"/>
        <w:numPr>
          <w:ilvl w:val="0"/>
          <w:numId w:val="2"/>
        </w:numPr>
        <w:tabs>
          <w:tab w:pos="1024" w:val="left" w:leader="none"/>
          <w:tab w:pos="1025" w:val="left" w:leader="none"/>
        </w:tabs>
        <w:spacing w:line="240" w:lineRule="auto" w:before="58" w:after="0"/>
        <w:ind w:left="1024" w:right="0" w:hanging="853"/>
        <w:jc w:val="left"/>
        <w:rPr>
          <w:sz w:val="22"/>
        </w:rPr>
      </w:pPr>
      <w:r>
        <w:rPr>
          <w:sz w:val="22"/>
        </w:rPr>
        <w:t>funkce </w:t>
      </w:r>
      <w:r>
        <w:rPr>
          <w:b/>
          <w:sz w:val="22"/>
        </w:rPr>
        <w:t>dopravního uzlu </w:t>
      </w:r>
      <w:r>
        <w:rPr>
          <w:sz w:val="22"/>
        </w:rPr>
        <w:t>regionálního</w:t>
      </w:r>
      <w:r>
        <w:rPr>
          <w:spacing w:val="-3"/>
          <w:sz w:val="22"/>
        </w:rPr>
        <w:t> </w:t>
      </w:r>
      <w:r>
        <w:rPr>
          <w:sz w:val="22"/>
        </w:rPr>
        <w:t>významu,</w:t>
      </w:r>
    </w:p>
    <w:p>
      <w:pPr>
        <w:pStyle w:val="ListParagraph"/>
        <w:numPr>
          <w:ilvl w:val="0"/>
          <w:numId w:val="2"/>
        </w:numPr>
        <w:tabs>
          <w:tab w:pos="1024" w:val="left" w:leader="none"/>
          <w:tab w:pos="1025" w:val="left" w:leader="none"/>
        </w:tabs>
        <w:spacing w:line="240" w:lineRule="auto" w:before="58" w:after="0"/>
        <w:ind w:left="1024" w:right="0" w:hanging="853"/>
        <w:jc w:val="left"/>
        <w:rPr>
          <w:sz w:val="22"/>
        </w:rPr>
      </w:pPr>
      <w:r>
        <w:rPr>
          <w:sz w:val="22"/>
        </w:rPr>
        <w:t>přesahy soustředění </w:t>
      </w:r>
      <w:r>
        <w:rPr>
          <w:b/>
          <w:sz w:val="22"/>
        </w:rPr>
        <w:t>systémů infrastruktury </w:t>
      </w:r>
      <w:r>
        <w:rPr>
          <w:sz w:val="22"/>
        </w:rPr>
        <w:t>na území</w:t>
      </w:r>
      <w:r>
        <w:rPr>
          <w:spacing w:val="-18"/>
          <w:sz w:val="22"/>
        </w:rPr>
        <w:t> </w:t>
      </w:r>
      <w:r>
        <w:rPr>
          <w:sz w:val="22"/>
        </w:rPr>
        <w:t>města,</w:t>
      </w:r>
    </w:p>
    <w:p>
      <w:pPr>
        <w:pStyle w:val="ListParagraph"/>
        <w:numPr>
          <w:ilvl w:val="0"/>
          <w:numId w:val="2"/>
        </w:numPr>
        <w:tabs>
          <w:tab w:pos="1024" w:val="left" w:leader="none"/>
          <w:tab w:pos="1025" w:val="left" w:leader="none"/>
        </w:tabs>
        <w:spacing w:line="240" w:lineRule="auto" w:before="60" w:after="0"/>
        <w:ind w:left="1024" w:right="145" w:hanging="853"/>
        <w:jc w:val="left"/>
        <w:rPr>
          <w:sz w:val="22"/>
        </w:rPr>
      </w:pPr>
      <w:r>
        <w:rPr>
          <w:sz w:val="22"/>
        </w:rPr>
        <w:t>regionální dopady </w:t>
      </w:r>
      <w:r>
        <w:rPr>
          <w:b/>
          <w:sz w:val="22"/>
        </w:rPr>
        <w:t>soustředěné urbanizace </w:t>
      </w:r>
      <w:r>
        <w:rPr>
          <w:sz w:val="22"/>
        </w:rPr>
        <w:t>na ÚSES, odtokové poměry v území a další hlediska ochrany životního</w:t>
      </w:r>
      <w:r>
        <w:rPr>
          <w:spacing w:val="-3"/>
          <w:sz w:val="22"/>
        </w:rPr>
        <w:t> </w:t>
      </w:r>
      <w:r>
        <w:rPr>
          <w:sz w:val="22"/>
        </w:rPr>
        <w:t>prostředí.</w:t>
      </w:r>
    </w:p>
    <w:p>
      <w:pPr>
        <w:pStyle w:val="BodyText"/>
        <w:spacing w:before="2"/>
        <w:ind w:left="0" w:firstLine="0"/>
        <w:jc w:val="left"/>
        <w:rPr>
          <w:sz w:val="19"/>
        </w:rPr>
      </w:pPr>
      <w:r>
        <w:rPr/>
        <w:pict>
          <v:shape style="position:absolute;margin-left:55.199997pt;margin-top:12.249381pt;width:484.7pt;height:14.9pt;mso-position-horizontal-relative:page;mso-position-vertical-relative:paragraph;z-index:-15726080;mso-wrap-distance-left:0;mso-wrap-distance-right:0" type="#_x0000_t202" filled="true" fillcolor="#ccffff" stroked="false">
            <v:textbox inset="0,0,0,0">
              <w:txbxContent>
                <w:p>
                  <w:pPr>
                    <w:tabs>
                      <w:tab w:pos="880" w:val="left" w:leader="none"/>
                    </w:tabs>
                    <w:spacing w:line="295" w:lineRule="exact" w:before="0"/>
                    <w:ind w:left="28" w:right="0" w:firstLine="0"/>
                    <w:jc w:val="left"/>
                    <w:rPr>
                      <w:b/>
                      <w:sz w:val="26"/>
                    </w:rPr>
                  </w:pPr>
                  <w:r>
                    <w:rPr>
                      <w:b/>
                      <w:sz w:val="26"/>
                    </w:rPr>
                    <w:t>B.2</w:t>
                    <w:tab/>
                    <w:t>ROZVOJ ÚZEMÍ MĚSTA, OCHRANA A ROZVOJ JEHO</w:t>
                  </w:r>
                  <w:r>
                    <w:rPr>
                      <w:b/>
                      <w:spacing w:val="-7"/>
                      <w:sz w:val="26"/>
                    </w:rPr>
                    <w:t> </w:t>
                  </w:r>
                  <w:r>
                    <w:rPr>
                      <w:b/>
                      <w:sz w:val="26"/>
                    </w:rPr>
                    <w:t>HODNOT</w:t>
                  </w:r>
                </w:p>
              </w:txbxContent>
            </v:textbox>
            <v:fill type="solid"/>
            <w10:wrap type="topAndBottom"/>
          </v:shape>
        </w:pict>
      </w:r>
    </w:p>
    <w:p>
      <w:pPr>
        <w:pStyle w:val="ListParagraph"/>
        <w:numPr>
          <w:ilvl w:val="0"/>
          <w:numId w:val="1"/>
        </w:numPr>
        <w:tabs>
          <w:tab w:pos="1024" w:val="left" w:leader="none"/>
          <w:tab w:pos="1025" w:val="left" w:leader="none"/>
        </w:tabs>
        <w:spacing w:line="244" w:lineRule="auto" w:before="100" w:after="0"/>
        <w:ind w:left="1024" w:right="147" w:hanging="853"/>
        <w:jc w:val="both"/>
        <w:rPr>
          <w:sz w:val="22"/>
        </w:rPr>
      </w:pPr>
      <w:r>
        <w:rPr>
          <w:sz w:val="22"/>
        </w:rPr>
        <w:t>Ve veřejném zájmu chránit a rozvíjet </w:t>
      </w:r>
      <w:r>
        <w:rPr>
          <w:b/>
          <w:sz w:val="22"/>
        </w:rPr>
        <w:t>přírodní, civilizační a kulturní hodnoty </w:t>
      </w:r>
      <w:r>
        <w:rPr>
          <w:sz w:val="22"/>
        </w:rPr>
        <w:t>území, včetně urbanistického, architektonického a archeologického</w:t>
      </w:r>
      <w:r>
        <w:rPr>
          <w:spacing w:val="-3"/>
          <w:sz w:val="22"/>
        </w:rPr>
        <w:t> </w:t>
      </w:r>
      <w:r>
        <w:rPr>
          <w:sz w:val="22"/>
        </w:rPr>
        <w:t>dědictví.</w:t>
      </w:r>
    </w:p>
    <w:p>
      <w:pPr>
        <w:pStyle w:val="ListParagraph"/>
        <w:numPr>
          <w:ilvl w:val="0"/>
          <w:numId w:val="1"/>
        </w:numPr>
        <w:tabs>
          <w:tab w:pos="1024" w:val="left" w:leader="none"/>
          <w:tab w:pos="1025" w:val="left" w:leader="none"/>
        </w:tabs>
        <w:spacing w:line="237" w:lineRule="auto" w:before="115" w:after="0"/>
        <w:ind w:left="1024" w:right="142" w:hanging="853"/>
        <w:jc w:val="both"/>
        <w:rPr>
          <w:sz w:val="22"/>
        </w:rPr>
      </w:pPr>
      <w:r>
        <w:rPr>
          <w:sz w:val="22"/>
        </w:rPr>
        <w:t>Zachovat rostlý ráz urbanistické struktury území, struktury osídlení a jedinečné kulturní krajiny, které jsou výrazem </w:t>
      </w:r>
      <w:r>
        <w:rPr>
          <w:b/>
          <w:sz w:val="22"/>
        </w:rPr>
        <w:t>identity území</w:t>
      </w:r>
      <w:r>
        <w:rPr>
          <w:sz w:val="22"/>
        </w:rPr>
        <w:t>, jeho historie a</w:t>
      </w:r>
      <w:r>
        <w:rPr>
          <w:spacing w:val="-18"/>
          <w:sz w:val="22"/>
        </w:rPr>
        <w:t> </w:t>
      </w:r>
      <w:r>
        <w:rPr>
          <w:sz w:val="22"/>
        </w:rPr>
        <w:t>tradice.</w:t>
      </w:r>
    </w:p>
    <w:p>
      <w:pPr>
        <w:pStyle w:val="ListParagraph"/>
        <w:numPr>
          <w:ilvl w:val="0"/>
          <w:numId w:val="1"/>
        </w:numPr>
        <w:tabs>
          <w:tab w:pos="1024" w:val="left" w:leader="none"/>
          <w:tab w:pos="1025" w:val="left" w:leader="none"/>
        </w:tabs>
        <w:spacing w:line="237" w:lineRule="auto" w:before="125" w:after="0"/>
        <w:ind w:left="1024" w:right="146" w:hanging="853"/>
        <w:jc w:val="both"/>
        <w:rPr>
          <w:sz w:val="22"/>
        </w:rPr>
      </w:pPr>
      <w:r>
        <w:rPr>
          <w:sz w:val="22"/>
        </w:rPr>
        <w:t>Ochranu  hodnot  území  provázat   s potřebami   ekonomického   a  sociálního   rozvoje  v souladu s </w:t>
      </w:r>
      <w:r>
        <w:rPr>
          <w:b/>
          <w:sz w:val="22"/>
        </w:rPr>
        <w:t>principy udržitelného</w:t>
      </w:r>
      <w:r>
        <w:rPr>
          <w:b/>
          <w:spacing w:val="-8"/>
          <w:sz w:val="22"/>
        </w:rPr>
        <w:t> </w:t>
      </w:r>
      <w:r>
        <w:rPr>
          <w:b/>
          <w:sz w:val="22"/>
        </w:rPr>
        <w:t>rozvoje</w:t>
      </w:r>
      <w:r>
        <w:rPr>
          <w:sz w:val="22"/>
        </w:rPr>
        <w:t>.</w:t>
      </w:r>
    </w:p>
    <w:p>
      <w:pPr>
        <w:pStyle w:val="ListParagraph"/>
        <w:numPr>
          <w:ilvl w:val="0"/>
          <w:numId w:val="1"/>
        </w:numPr>
        <w:tabs>
          <w:tab w:pos="1024" w:val="left" w:leader="none"/>
          <w:tab w:pos="1025" w:val="left" w:leader="none"/>
        </w:tabs>
        <w:spacing w:line="240" w:lineRule="auto" w:before="121" w:after="0"/>
        <w:ind w:left="1024" w:right="142" w:hanging="853"/>
        <w:jc w:val="both"/>
        <w:rPr>
          <w:sz w:val="22"/>
        </w:rPr>
      </w:pPr>
      <w:r>
        <w:rPr>
          <w:sz w:val="22"/>
        </w:rPr>
        <w:t>Uplatňovat cílenou ochrana </w:t>
      </w:r>
      <w:r>
        <w:rPr>
          <w:b/>
          <w:sz w:val="22"/>
        </w:rPr>
        <w:t>míst zvláštního zájmu</w:t>
      </w:r>
      <w:r>
        <w:rPr>
          <w:sz w:val="22"/>
        </w:rPr>
        <w:t>, bránit upadání venkovských částí městské krajiny jako důsledku nedostatku lidských</w:t>
      </w:r>
      <w:r>
        <w:rPr>
          <w:spacing w:val="-11"/>
          <w:sz w:val="22"/>
        </w:rPr>
        <w:t> </w:t>
      </w:r>
      <w:r>
        <w:rPr>
          <w:sz w:val="22"/>
        </w:rPr>
        <w:t>zásahů.</w:t>
      </w:r>
    </w:p>
    <w:p>
      <w:pPr>
        <w:pStyle w:val="Heading2"/>
        <w:numPr>
          <w:ilvl w:val="2"/>
          <w:numId w:val="3"/>
        </w:numPr>
        <w:tabs>
          <w:tab w:pos="1024" w:val="left" w:leader="none"/>
          <w:tab w:pos="1025" w:val="left" w:leader="none"/>
        </w:tabs>
        <w:spacing w:line="240" w:lineRule="auto" w:before="179" w:after="0"/>
        <w:ind w:left="1024" w:right="0" w:hanging="853"/>
        <w:jc w:val="left"/>
      </w:pPr>
      <w:r>
        <w:rPr/>
        <w:t>HOSPODÁŘSKÝ</w:t>
      </w:r>
      <w:r>
        <w:rPr>
          <w:spacing w:val="-2"/>
        </w:rPr>
        <w:t> </w:t>
      </w:r>
      <w:r>
        <w:rPr/>
        <w:t>PILÍŘ</w:t>
      </w:r>
    </w:p>
    <w:p>
      <w:pPr>
        <w:pStyle w:val="Heading3"/>
        <w:spacing w:before="120"/>
      </w:pPr>
      <w:r>
        <w:rPr/>
        <w:t>HOSPODÁŘSKÁ ZÁKLADNA</w:t>
      </w:r>
    </w:p>
    <w:p>
      <w:pPr>
        <w:pStyle w:val="ListParagraph"/>
        <w:numPr>
          <w:ilvl w:val="0"/>
          <w:numId w:val="1"/>
        </w:numPr>
        <w:tabs>
          <w:tab w:pos="1024" w:val="left" w:leader="none"/>
          <w:tab w:pos="1025" w:val="left" w:leader="none"/>
        </w:tabs>
        <w:spacing w:line="242" w:lineRule="auto" w:before="119" w:after="0"/>
        <w:ind w:left="1024" w:right="146" w:hanging="853"/>
        <w:jc w:val="both"/>
        <w:rPr>
          <w:sz w:val="22"/>
        </w:rPr>
      </w:pPr>
      <w:r>
        <w:rPr>
          <w:sz w:val="22"/>
        </w:rPr>
        <w:t>Územně podporovat rozvoj </w:t>
      </w:r>
      <w:r>
        <w:rPr>
          <w:b/>
          <w:sz w:val="22"/>
        </w:rPr>
        <w:t>zpracovatelského průmyslu</w:t>
      </w:r>
      <w:r>
        <w:rPr>
          <w:sz w:val="22"/>
        </w:rPr>
        <w:t>, který by měl být i přes dílčí hospodářské výkyvy a nedostatek soustředěných ploch jedním z impulzů migračního růstu</w:t>
      </w:r>
      <w:r>
        <w:rPr>
          <w:spacing w:val="-3"/>
          <w:sz w:val="22"/>
        </w:rPr>
        <w:t> </w:t>
      </w:r>
      <w:r>
        <w:rPr>
          <w:sz w:val="22"/>
        </w:rPr>
        <w:t>města,</w:t>
      </w:r>
    </w:p>
    <w:p>
      <w:pPr>
        <w:pStyle w:val="ListParagraph"/>
        <w:numPr>
          <w:ilvl w:val="0"/>
          <w:numId w:val="2"/>
        </w:numPr>
        <w:tabs>
          <w:tab w:pos="1024" w:val="left" w:leader="none"/>
          <w:tab w:pos="1025" w:val="left" w:leader="none"/>
        </w:tabs>
        <w:spacing w:line="240" w:lineRule="auto" w:before="57" w:after="0"/>
        <w:ind w:left="1024" w:right="147" w:hanging="853"/>
        <w:jc w:val="both"/>
        <w:rPr>
          <w:sz w:val="22"/>
        </w:rPr>
      </w:pPr>
      <w:r>
        <w:rPr>
          <w:sz w:val="22"/>
        </w:rPr>
        <w:t>vytvářet územní podmínky pro rozvoj podnikatelských aktivit na celém svém správním území na plochách výroby a skladování (E) a plochách smíšených aktivit</w:t>
      </w:r>
      <w:r>
        <w:rPr>
          <w:spacing w:val="-14"/>
          <w:sz w:val="22"/>
        </w:rPr>
        <w:t> </w:t>
      </w:r>
      <w:r>
        <w:rPr>
          <w:sz w:val="22"/>
        </w:rPr>
        <w:t>(A),</w:t>
      </w:r>
    </w:p>
    <w:p>
      <w:pPr>
        <w:pStyle w:val="ListParagraph"/>
        <w:numPr>
          <w:ilvl w:val="0"/>
          <w:numId w:val="2"/>
        </w:numPr>
        <w:tabs>
          <w:tab w:pos="1024" w:val="left" w:leader="none"/>
          <w:tab w:pos="1025" w:val="left" w:leader="none"/>
        </w:tabs>
        <w:spacing w:line="240" w:lineRule="auto" w:before="57" w:after="0"/>
        <w:ind w:left="1024" w:right="142" w:hanging="853"/>
        <w:jc w:val="both"/>
        <w:rPr>
          <w:sz w:val="22"/>
        </w:rPr>
      </w:pPr>
      <w:r>
        <w:rPr>
          <w:sz w:val="22"/>
        </w:rPr>
        <w:t>rozhodující kapacity průmyslové základny obce koordinovaně rozvíjet v dopravně přístupných, technicky zajištěných a územně stabilizovaných plochách v nejprůmyslovější části města v k.ú. Dolní Chrastava při železniční</w:t>
      </w:r>
      <w:r>
        <w:rPr>
          <w:spacing w:val="-13"/>
          <w:sz w:val="22"/>
        </w:rPr>
        <w:t> </w:t>
      </w:r>
      <w:r>
        <w:rPr>
          <w:sz w:val="22"/>
        </w:rPr>
        <w:t>stanici.</w:t>
      </w:r>
    </w:p>
    <w:p>
      <w:pPr>
        <w:pStyle w:val="ListParagraph"/>
        <w:numPr>
          <w:ilvl w:val="0"/>
          <w:numId w:val="1"/>
        </w:numPr>
        <w:tabs>
          <w:tab w:pos="1024" w:val="left" w:leader="none"/>
          <w:tab w:pos="1025" w:val="left" w:leader="none"/>
        </w:tabs>
        <w:spacing w:line="240" w:lineRule="auto" w:before="119" w:after="0"/>
        <w:ind w:left="1024" w:right="145" w:hanging="853"/>
        <w:jc w:val="both"/>
        <w:rPr>
          <w:sz w:val="22"/>
        </w:rPr>
      </w:pPr>
      <w:r>
        <w:rPr>
          <w:sz w:val="22"/>
        </w:rPr>
        <w:t>Přednostně využívat nedostatečně využité stávající výrobní areály - </w:t>
      </w:r>
      <w:r>
        <w:rPr>
          <w:b/>
          <w:sz w:val="22"/>
        </w:rPr>
        <w:t>brownfields</w:t>
      </w:r>
      <w:r>
        <w:rPr>
          <w:sz w:val="22"/>
        </w:rPr>
        <w:t>. Hlavní rozvojové plochy výroby umísťovat v neobyvatelném pásu podél silnice</w:t>
      </w:r>
      <w:r>
        <w:rPr>
          <w:spacing w:val="-10"/>
          <w:sz w:val="22"/>
        </w:rPr>
        <w:t> </w:t>
      </w:r>
      <w:r>
        <w:rPr>
          <w:sz w:val="22"/>
        </w:rPr>
        <w:t>I/35.</w:t>
      </w:r>
    </w:p>
    <w:p>
      <w:pPr>
        <w:pStyle w:val="ListParagraph"/>
        <w:numPr>
          <w:ilvl w:val="0"/>
          <w:numId w:val="2"/>
        </w:numPr>
        <w:tabs>
          <w:tab w:pos="1024" w:val="left" w:leader="none"/>
          <w:tab w:pos="1025" w:val="left" w:leader="none"/>
        </w:tabs>
        <w:spacing w:line="240" w:lineRule="auto" w:before="62" w:after="0"/>
        <w:ind w:left="1024" w:right="146" w:hanging="853"/>
        <w:jc w:val="both"/>
        <w:rPr>
          <w:sz w:val="22"/>
        </w:rPr>
      </w:pPr>
      <w:r>
        <w:rPr>
          <w:sz w:val="22"/>
        </w:rPr>
        <w:t>jižně od Nádražní ulice respektovat prostor pro drobné podnikání a služby. V prostoru Andělské Hory po vytěžení materiálu rekultivovat plochu skládky</w:t>
      </w:r>
      <w:r>
        <w:rPr>
          <w:spacing w:val="-11"/>
          <w:sz w:val="22"/>
        </w:rPr>
        <w:t> </w:t>
      </w:r>
      <w:r>
        <w:rPr>
          <w:sz w:val="22"/>
        </w:rPr>
        <w:t>škváry.</w:t>
      </w:r>
    </w:p>
    <w:p>
      <w:pPr>
        <w:pStyle w:val="ListParagraph"/>
        <w:numPr>
          <w:ilvl w:val="0"/>
          <w:numId w:val="1"/>
        </w:numPr>
        <w:tabs>
          <w:tab w:pos="1024" w:val="left" w:leader="none"/>
          <w:tab w:pos="1025" w:val="left" w:leader="none"/>
        </w:tabs>
        <w:spacing w:line="240" w:lineRule="auto" w:before="118" w:after="0"/>
        <w:ind w:left="1024" w:right="145" w:hanging="852"/>
        <w:jc w:val="both"/>
        <w:rPr>
          <w:sz w:val="22"/>
        </w:rPr>
      </w:pPr>
      <w:r>
        <w:rPr>
          <w:sz w:val="22"/>
        </w:rPr>
        <w:t>V k.ú. Chrastava I, především v centrální části města, stabilizovat a rozvíjet menší </w:t>
      </w:r>
      <w:r>
        <w:rPr>
          <w:b/>
          <w:sz w:val="22"/>
        </w:rPr>
        <w:t>servisní a obchodní </w:t>
      </w:r>
      <w:r>
        <w:rPr>
          <w:sz w:val="22"/>
        </w:rPr>
        <w:t>zařízení v rámci ploch smíšených centrálních (C) slučitelná  s dalšími funkcemi v</w:t>
      </w:r>
      <w:r>
        <w:rPr>
          <w:spacing w:val="-6"/>
          <w:sz w:val="22"/>
        </w:rPr>
        <w:t> </w:t>
      </w:r>
      <w:r>
        <w:rPr>
          <w:sz w:val="22"/>
        </w:rPr>
        <w:t>území,</w:t>
      </w:r>
    </w:p>
    <w:p>
      <w:pPr>
        <w:pStyle w:val="ListParagraph"/>
        <w:numPr>
          <w:ilvl w:val="0"/>
          <w:numId w:val="2"/>
        </w:numPr>
        <w:tabs>
          <w:tab w:pos="1024" w:val="left" w:leader="none"/>
          <w:tab w:pos="1025" w:val="left" w:leader="none"/>
        </w:tabs>
        <w:spacing w:line="240" w:lineRule="auto" w:before="61" w:after="0"/>
        <w:ind w:left="1024" w:right="148" w:hanging="852"/>
        <w:jc w:val="both"/>
        <w:rPr>
          <w:sz w:val="22"/>
        </w:rPr>
      </w:pPr>
      <w:r>
        <w:rPr>
          <w:sz w:val="22"/>
        </w:rPr>
        <w:t>přilákat kvalifikované pracovní síly z center (Liberec) nabídkou těchto kvalitních ploch s funkčními regulativy umožňujícími moderní formy podnikání v místě bydliště a rozšiřováním zařízení služeb nadmístního významu, provozy z pohledu zatížení životního prostředí nevhodné sem</w:t>
      </w:r>
      <w:r>
        <w:rPr>
          <w:spacing w:val="-5"/>
          <w:sz w:val="22"/>
        </w:rPr>
        <w:t> </w:t>
      </w:r>
      <w:r>
        <w:rPr>
          <w:sz w:val="22"/>
        </w:rPr>
        <w:t>neumisťovat.</w:t>
      </w:r>
    </w:p>
    <w:p>
      <w:pPr>
        <w:spacing w:after="0" w:line="240" w:lineRule="auto"/>
        <w:jc w:val="both"/>
        <w:rPr>
          <w:sz w:val="22"/>
        </w:rPr>
        <w:sectPr>
          <w:headerReference w:type="default" r:id="rId9"/>
          <w:footerReference w:type="default" r:id="rId10"/>
          <w:pgSz w:w="11900" w:h="16840"/>
          <w:pgMar w:header="561" w:footer="582" w:top="760" w:bottom="780" w:left="960" w:right="980"/>
          <w:pgNumType w:start="4"/>
        </w:sectPr>
      </w:pPr>
    </w:p>
    <w:p>
      <w:pPr>
        <w:pStyle w:val="BodyText"/>
        <w:spacing w:before="7"/>
        <w:ind w:left="0" w:firstLine="0"/>
        <w:jc w:val="left"/>
      </w:pPr>
    </w:p>
    <w:p>
      <w:pPr>
        <w:pStyle w:val="ListParagraph"/>
        <w:numPr>
          <w:ilvl w:val="0"/>
          <w:numId w:val="1"/>
        </w:numPr>
        <w:tabs>
          <w:tab w:pos="1024" w:val="left" w:leader="none"/>
          <w:tab w:pos="1025" w:val="left" w:leader="none"/>
        </w:tabs>
        <w:spacing w:line="240" w:lineRule="auto" w:before="101" w:after="0"/>
        <w:ind w:left="1024" w:right="147" w:hanging="852"/>
        <w:jc w:val="both"/>
        <w:rPr>
          <w:sz w:val="22"/>
        </w:rPr>
      </w:pPr>
      <w:r>
        <w:rPr>
          <w:sz w:val="22"/>
        </w:rPr>
        <w:t>V k.ú. Chrastava II stabilizovat plochy stávajících výrobních areálů, zvláštní pozornost věnovat opuštěným výrobním areálům - </w:t>
      </w:r>
      <w:r>
        <w:rPr>
          <w:b/>
          <w:sz w:val="22"/>
        </w:rPr>
        <w:t>brownfields</w:t>
      </w:r>
      <w:r>
        <w:rPr>
          <w:sz w:val="22"/>
        </w:rPr>
        <w:t>, které budou využity pro rozvoj podnikatelských aktivit a restrukturalizaci</w:t>
      </w:r>
      <w:r>
        <w:rPr>
          <w:spacing w:val="-2"/>
          <w:sz w:val="22"/>
        </w:rPr>
        <w:t> </w:t>
      </w:r>
      <w:r>
        <w:rPr>
          <w:sz w:val="22"/>
        </w:rPr>
        <w:t>výroby.</w:t>
      </w:r>
    </w:p>
    <w:p>
      <w:pPr>
        <w:pStyle w:val="ListParagraph"/>
        <w:numPr>
          <w:ilvl w:val="0"/>
          <w:numId w:val="1"/>
        </w:numPr>
        <w:tabs>
          <w:tab w:pos="1024" w:val="left" w:leader="none"/>
          <w:tab w:pos="1025" w:val="left" w:leader="none"/>
        </w:tabs>
        <w:spacing w:line="240" w:lineRule="auto" w:before="122" w:after="0"/>
        <w:ind w:left="1024" w:right="146" w:hanging="852"/>
        <w:jc w:val="both"/>
        <w:rPr>
          <w:sz w:val="22"/>
        </w:rPr>
      </w:pPr>
      <w:r>
        <w:rPr>
          <w:sz w:val="22"/>
        </w:rPr>
        <w:t>Na území Horní Chrastavy, Dolního a Horního Vítkova stabilizovat stávající plochy výroby a areály zemědělských farem s možností rozvoje a změny náplně v rámci stávajících ploch. Na těchto územích </w:t>
      </w:r>
      <w:r>
        <w:rPr>
          <w:b/>
          <w:sz w:val="22"/>
        </w:rPr>
        <w:t>neumisťovat </w:t>
      </w:r>
      <w:r>
        <w:rPr>
          <w:sz w:val="22"/>
        </w:rPr>
        <w:t>významnější výrobní podnikatelské</w:t>
      </w:r>
      <w:r>
        <w:rPr>
          <w:spacing w:val="-18"/>
          <w:sz w:val="22"/>
        </w:rPr>
        <w:t> </w:t>
      </w:r>
      <w:r>
        <w:rPr>
          <w:sz w:val="22"/>
        </w:rPr>
        <w:t>aktivity.</w:t>
      </w:r>
    </w:p>
    <w:p>
      <w:pPr>
        <w:pStyle w:val="ListParagraph"/>
        <w:numPr>
          <w:ilvl w:val="0"/>
          <w:numId w:val="1"/>
        </w:numPr>
        <w:tabs>
          <w:tab w:pos="1024" w:val="left" w:leader="none"/>
          <w:tab w:pos="1025" w:val="left" w:leader="none"/>
        </w:tabs>
        <w:spacing w:line="240" w:lineRule="auto" w:before="117" w:after="0"/>
        <w:ind w:left="1024" w:right="151" w:hanging="852"/>
        <w:jc w:val="both"/>
        <w:rPr>
          <w:sz w:val="22"/>
        </w:rPr>
      </w:pPr>
      <w:r>
        <w:rPr>
          <w:b/>
          <w:sz w:val="22"/>
        </w:rPr>
        <w:t>Kapacitní komerční občanské vybavení </w:t>
      </w:r>
      <w:r>
        <w:rPr>
          <w:sz w:val="22"/>
        </w:rPr>
        <w:t>rozvíjet ve stávajících obchodních zónách ve vazbě na odpovídající dopravní a technickou</w:t>
      </w:r>
      <w:r>
        <w:rPr>
          <w:spacing w:val="-10"/>
          <w:sz w:val="22"/>
        </w:rPr>
        <w:t> </w:t>
      </w:r>
      <w:r>
        <w:rPr>
          <w:sz w:val="22"/>
        </w:rPr>
        <w:t>infrastrukturu,</w:t>
      </w:r>
    </w:p>
    <w:p>
      <w:pPr>
        <w:pStyle w:val="ListParagraph"/>
        <w:numPr>
          <w:ilvl w:val="0"/>
          <w:numId w:val="2"/>
        </w:numPr>
        <w:tabs>
          <w:tab w:pos="1024" w:val="left" w:leader="none"/>
          <w:tab w:pos="1025" w:val="left" w:leader="none"/>
        </w:tabs>
        <w:spacing w:line="240" w:lineRule="auto" w:before="63" w:after="0"/>
        <w:ind w:left="1024" w:right="145" w:hanging="853"/>
        <w:jc w:val="both"/>
        <w:rPr>
          <w:sz w:val="22"/>
        </w:rPr>
      </w:pPr>
      <w:r>
        <w:rPr>
          <w:sz w:val="22"/>
        </w:rPr>
        <w:t>na okraji centra přeměnit areál brownfield „Kovák“ na kapacitní obchodní zařízení v rámci ploch občanského</w:t>
      </w:r>
      <w:r>
        <w:rPr>
          <w:spacing w:val="-1"/>
          <w:sz w:val="22"/>
        </w:rPr>
        <w:t> </w:t>
      </w:r>
      <w:r>
        <w:rPr>
          <w:sz w:val="22"/>
        </w:rPr>
        <w:t>vybavení-komerčního,</w:t>
      </w:r>
    </w:p>
    <w:p>
      <w:pPr>
        <w:pStyle w:val="ListParagraph"/>
        <w:numPr>
          <w:ilvl w:val="0"/>
          <w:numId w:val="1"/>
        </w:numPr>
        <w:tabs>
          <w:tab w:pos="1024" w:val="left" w:leader="none"/>
          <w:tab w:pos="1025" w:val="left" w:leader="none"/>
        </w:tabs>
        <w:spacing w:line="240" w:lineRule="auto" w:before="117" w:after="0"/>
        <w:ind w:left="1024" w:right="146" w:hanging="852"/>
        <w:jc w:val="both"/>
        <w:rPr>
          <w:sz w:val="22"/>
        </w:rPr>
      </w:pPr>
      <w:r>
        <w:rPr>
          <w:b/>
          <w:sz w:val="22"/>
        </w:rPr>
        <w:t>Přírodních a kulturních atraktivit </w:t>
      </w:r>
      <w:r>
        <w:rPr>
          <w:sz w:val="22"/>
        </w:rPr>
        <w:t>území města využít pro rozvoj celoročního cestovního ruchu a chránit je respektováním limitů využití území v oblasti ochrany přírody a krajiny a památkové péče a naplňováním urbanistické koncepce v souladu s regulativy</w:t>
      </w:r>
      <w:r>
        <w:rPr>
          <w:spacing w:val="-19"/>
          <w:sz w:val="22"/>
        </w:rPr>
        <w:t> </w:t>
      </w:r>
      <w:r>
        <w:rPr>
          <w:sz w:val="22"/>
        </w:rPr>
        <w:t>ÚP.</w:t>
      </w:r>
    </w:p>
    <w:p>
      <w:pPr>
        <w:pStyle w:val="ListParagraph"/>
        <w:numPr>
          <w:ilvl w:val="0"/>
          <w:numId w:val="1"/>
        </w:numPr>
        <w:tabs>
          <w:tab w:pos="1024" w:val="left" w:leader="none"/>
          <w:tab w:pos="1025" w:val="left" w:leader="none"/>
        </w:tabs>
        <w:spacing w:line="237" w:lineRule="auto" w:before="124" w:after="0"/>
        <w:ind w:left="1024" w:right="146" w:hanging="853"/>
        <w:jc w:val="both"/>
        <w:rPr>
          <w:sz w:val="22"/>
        </w:rPr>
      </w:pPr>
      <w:r>
        <w:rPr>
          <w:sz w:val="22"/>
        </w:rPr>
        <w:t>Formy a intenzitu zemědělského a lesního hospodaření usměrňovat podle zásad využívání jednotlivých </w:t>
      </w:r>
      <w:r>
        <w:rPr>
          <w:b/>
          <w:sz w:val="22"/>
        </w:rPr>
        <w:t>typů</w:t>
      </w:r>
      <w:r>
        <w:rPr>
          <w:b/>
          <w:spacing w:val="-3"/>
          <w:sz w:val="22"/>
        </w:rPr>
        <w:t> </w:t>
      </w:r>
      <w:r>
        <w:rPr>
          <w:b/>
          <w:sz w:val="22"/>
        </w:rPr>
        <w:t>krajiny</w:t>
      </w:r>
      <w:r>
        <w:rPr>
          <w:sz w:val="22"/>
        </w:rPr>
        <w:t>,</w:t>
      </w:r>
    </w:p>
    <w:p>
      <w:pPr>
        <w:pStyle w:val="ListParagraph"/>
        <w:numPr>
          <w:ilvl w:val="0"/>
          <w:numId w:val="2"/>
        </w:numPr>
        <w:tabs>
          <w:tab w:pos="1024" w:val="left" w:leader="none"/>
          <w:tab w:pos="1025" w:val="left" w:leader="none"/>
        </w:tabs>
        <w:spacing w:line="240" w:lineRule="auto" w:before="63" w:after="0"/>
        <w:ind w:left="1024" w:right="146" w:hanging="852"/>
        <w:jc w:val="both"/>
        <w:rPr>
          <w:sz w:val="22"/>
        </w:rPr>
      </w:pPr>
      <w:r>
        <w:rPr>
          <w:sz w:val="22"/>
        </w:rPr>
        <w:t>podle zásad využívání zemědělských pozemků využívat plochy zemědělské (K), které díky místním přírodním podmínkám a dislokaci pozemků poskytují prostor pro živočišnou i rostlinnou výrobu tradičních i netradičních forem žádoucích pro údržbu</w:t>
      </w:r>
      <w:r>
        <w:rPr>
          <w:spacing w:val="-16"/>
          <w:sz w:val="22"/>
        </w:rPr>
        <w:t> </w:t>
      </w:r>
      <w:r>
        <w:rPr>
          <w:sz w:val="22"/>
        </w:rPr>
        <w:t>krajiny.</w:t>
      </w:r>
    </w:p>
    <w:p>
      <w:pPr>
        <w:pStyle w:val="ListParagraph"/>
        <w:numPr>
          <w:ilvl w:val="0"/>
          <w:numId w:val="1"/>
        </w:numPr>
        <w:tabs>
          <w:tab w:pos="1024" w:val="left" w:leader="none"/>
          <w:tab w:pos="1025" w:val="left" w:leader="none"/>
        </w:tabs>
        <w:spacing w:line="240" w:lineRule="auto" w:before="116" w:after="0"/>
        <w:ind w:left="1024" w:right="146" w:hanging="852"/>
        <w:jc w:val="both"/>
        <w:rPr>
          <w:sz w:val="22"/>
        </w:rPr>
      </w:pPr>
      <w:r>
        <w:rPr>
          <w:sz w:val="22"/>
        </w:rPr>
        <w:t>Pěstování </w:t>
      </w:r>
      <w:r>
        <w:rPr>
          <w:b/>
          <w:sz w:val="22"/>
        </w:rPr>
        <w:t>biomasy a rychlerostoucích dřevin </w:t>
      </w:r>
      <w:r>
        <w:rPr>
          <w:sz w:val="22"/>
        </w:rPr>
        <w:t>pro energetické účely umožnit ve vybraných částech řešeného území (mimo území zájmů ochrany přírody - přírodní park Ještěd, VKP ze zákona, ÚSES...) za dodržení podmínek ochrany přírody a krajiny, vždy na základě zájemcem doloženého zpracování, zužitkování či</w:t>
      </w:r>
      <w:r>
        <w:rPr>
          <w:spacing w:val="-6"/>
          <w:sz w:val="22"/>
        </w:rPr>
        <w:t> </w:t>
      </w:r>
      <w:r>
        <w:rPr>
          <w:sz w:val="22"/>
        </w:rPr>
        <w:t>odbytu.</w:t>
      </w:r>
    </w:p>
    <w:p>
      <w:pPr>
        <w:pStyle w:val="ListParagraph"/>
        <w:numPr>
          <w:ilvl w:val="0"/>
          <w:numId w:val="1"/>
        </w:numPr>
        <w:tabs>
          <w:tab w:pos="1024" w:val="left" w:leader="none"/>
          <w:tab w:pos="1025" w:val="left" w:leader="none"/>
        </w:tabs>
        <w:spacing w:line="244" w:lineRule="auto" w:before="119" w:after="0"/>
        <w:ind w:left="1024" w:right="146" w:hanging="852"/>
        <w:jc w:val="both"/>
        <w:rPr>
          <w:sz w:val="22"/>
        </w:rPr>
      </w:pPr>
      <w:r>
        <w:rPr>
          <w:sz w:val="22"/>
        </w:rPr>
        <w:t>Zemědělské pozemky v územních </w:t>
      </w:r>
      <w:r>
        <w:rPr>
          <w:b/>
          <w:sz w:val="22"/>
        </w:rPr>
        <w:t>zájmech ochrany přírody </w:t>
      </w:r>
      <w:r>
        <w:rPr>
          <w:sz w:val="22"/>
        </w:rPr>
        <w:t>a krajiny udržovat alespoň extenzivně i za cenu nezužitkování</w:t>
      </w:r>
      <w:r>
        <w:rPr>
          <w:spacing w:val="-4"/>
          <w:sz w:val="22"/>
        </w:rPr>
        <w:t> </w:t>
      </w:r>
      <w:r>
        <w:rPr>
          <w:sz w:val="22"/>
        </w:rPr>
        <w:t>biomasy.</w:t>
      </w:r>
    </w:p>
    <w:p>
      <w:pPr>
        <w:pStyle w:val="ListParagraph"/>
        <w:numPr>
          <w:ilvl w:val="0"/>
          <w:numId w:val="1"/>
        </w:numPr>
        <w:tabs>
          <w:tab w:pos="1024" w:val="left" w:leader="none"/>
          <w:tab w:pos="1025" w:val="left" w:leader="none"/>
        </w:tabs>
        <w:spacing w:line="244" w:lineRule="auto" w:before="110" w:after="0"/>
        <w:ind w:left="1024" w:right="146" w:hanging="852"/>
        <w:jc w:val="both"/>
        <w:rPr>
          <w:sz w:val="22"/>
        </w:rPr>
      </w:pPr>
      <w:r>
        <w:rPr>
          <w:sz w:val="22"/>
        </w:rPr>
        <w:t>Podle zásad využívání </w:t>
      </w:r>
      <w:r>
        <w:rPr>
          <w:b/>
          <w:sz w:val="22"/>
        </w:rPr>
        <w:t>PUPFL </w:t>
      </w:r>
      <w:r>
        <w:rPr>
          <w:sz w:val="22"/>
        </w:rPr>
        <w:t>hospodařit na plochách lesních (L) a plochách přírodních lesních (N), stávající plochy charakteru vzrostlého lesa začleňovat do</w:t>
      </w:r>
      <w:r>
        <w:rPr>
          <w:spacing w:val="-13"/>
          <w:sz w:val="22"/>
        </w:rPr>
        <w:t> </w:t>
      </w:r>
      <w:r>
        <w:rPr>
          <w:sz w:val="22"/>
        </w:rPr>
        <w:t>PUPFL.</w:t>
      </w:r>
    </w:p>
    <w:p>
      <w:pPr>
        <w:pStyle w:val="ListParagraph"/>
        <w:numPr>
          <w:ilvl w:val="0"/>
          <w:numId w:val="1"/>
        </w:numPr>
        <w:tabs>
          <w:tab w:pos="1024" w:val="left" w:leader="none"/>
          <w:tab w:pos="1025" w:val="left" w:leader="none"/>
        </w:tabs>
        <w:spacing w:line="240" w:lineRule="auto" w:before="113" w:after="0"/>
        <w:ind w:left="1024" w:right="145" w:hanging="852"/>
        <w:jc w:val="both"/>
        <w:rPr>
          <w:sz w:val="22"/>
        </w:rPr>
      </w:pPr>
      <w:r>
        <w:rPr>
          <w:sz w:val="22"/>
        </w:rPr>
        <w:t>Díky územní dislokaci lesních pozemků a vysokému stupni jejich zpřístupněnosti provozovat </w:t>
      </w:r>
      <w:r>
        <w:rPr>
          <w:b/>
          <w:sz w:val="22"/>
        </w:rPr>
        <w:t>lesnické hospodaření </w:t>
      </w:r>
      <w:r>
        <w:rPr>
          <w:sz w:val="22"/>
        </w:rPr>
        <w:t>jak pro výnosové hospodářské funkce, tak i pro zajišťování funkcí</w:t>
      </w:r>
      <w:r>
        <w:rPr>
          <w:spacing w:val="-7"/>
          <w:sz w:val="22"/>
        </w:rPr>
        <w:t> </w:t>
      </w:r>
      <w:r>
        <w:rPr>
          <w:sz w:val="22"/>
        </w:rPr>
        <w:t>mimoprodukčních,</w:t>
      </w:r>
    </w:p>
    <w:p>
      <w:pPr>
        <w:pStyle w:val="ListParagraph"/>
        <w:numPr>
          <w:ilvl w:val="0"/>
          <w:numId w:val="2"/>
        </w:numPr>
        <w:tabs>
          <w:tab w:pos="1024" w:val="left" w:leader="none"/>
          <w:tab w:pos="1025" w:val="left" w:leader="none"/>
        </w:tabs>
        <w:spacing w:line="240" w:lineRule="auto" w:before="59" w:after="0"/>
        <w:ind w:left="1024" w:right="146" w:hanging="852"/>
        <w:jc w:val="both"/>
        <w:rPr>
          <w:sz w:val="22"/>
        </w:rPr>
      </w:pPr>
      <w:r>
        <w:rPr>
          <w:sz w:val="22"/>
        </w:rPr>
        <w:t>v lesích tvořících prvky ÚSES hospodařit podle zásad udržitelného rozvoje platných pro ÚSES a stanovených orgány ochrany přírody, v pohledově dominantních partiích vrcholů, hřebenů a svahů budou uvážlivě umísťovány obnovné</w:t>
      </w:r>
      <w:r>
        <w:rPr>
          <w:spacing w:val="-7"/>
          <w:sz w:val="22"/>
        </w:rPr>
        <w:t> </w:t>
      </w:r>
      <w:r>
        <w:rPr>
          <w:sz w:val="22"/>
        </w:rPr>
        <w:t>prvky,</w:t>
      </w:r>
    </w:p>
    <w:p>
      <w:pPr>
        <w:pStyle w:val="ListParagraph"/>
        <w:numPr>
          <w:ilvl w:val="0"/>
          <w:numId w:val="2"/>
        </w:numPr>
        <w:tabs>
          <w:tab w:pos="1024" w:val="left" w:leader="none"/>
          <w:tab w:pos="1025" w:val="left" w:leader="none"/>
        </w:tabs>
        <w:spacing w:line="240" w:lineRule="auto" w:before="61" w:after="0"/>
        <w:ind w:left="1024" w:right="145" w:hanging="852"/>
        <w:jc w:val="both"/>
        <w:rPr>
          <w:sz w:val="22"/>
        </w:rPr>
      </w:pPr>
      <w:r>
        <w:rPr>
          <w:sz w:val="22"/>
        </w:rPr>
        <w:t>v lesích tvořících vymezená biocentra všech zdejších biogeografických významů při obnově LHP/LHO provést změnu jejich kategorizace, jejich přeřazením do příslušné subkategorie lesů zvláštního určení (vč. překryvů s ostatními kategoriemi a subkategoriemi).</w:t>
      </w:r>
    </w:p>
    <w:p>
      <w:pPr>
        <w:pStyle w:val="ListParagraph"/>
        <w:numPr>
          <w:ilvl w:val="0"/>
          <w:numId w:val="1"/>
        </w:numPr>
        <w:tabs>
          <w:tab w:pos="1024" w:val="left" w:leader="none"/>
          <w:tab w:pos="1025" w:val="left" w:leader="none"/>
        </w:tabs>
        <w:spacing w:line="242" w:lineRule="auto" w:before="115" w:after="0"/>
        <w:ind w:left="1024" w:right="146" w:hanging="852"/>
        <w:jc w:val="both"/>
        <w:rPr>
          <w:sz w:val="22"/>
        </w:rPr>
      </w:pPr>
      <w:r>
        <w:rPr>
          <w:b/>
          <w:sz w:val="22"/>
        </w:rPr>
        <w:t>Změnit kategorie </w:t>
      </w:r>
      <w:r>
        <w:rPr>
          <w:sz w:val="22"/>
        </w:rPr>
        <w:t>lesů v okolí vodní nádrže Oko poblíž obalovny - dle OPRL 213 A a B - ze současného lesa hospodářského zařazením do lesa zvláštního určení, lesů příměstských a se zvýšenou rekreační</w:t>
      </w:r>
      <w:r>
        <w:rPr>
          <w:spacing w:val="-6"/>
          <w:sz w:val="22"/>
        </w:rPr>
        <w:t> </w:t>
      </w:r>
      <w:r>
        <w:rPr>
          <w:sz w:val="22"/>
        </w:rPr>
        <w:t>funkcí.</w:t>
      </w:r>
    </w:p>
    <w:p>
      <w:pPr>
        <w:pStyle w:val="ListParagraph"/>
        <w:numPr>
          <w:ilvl w:val="0"/>
          <w:numId w:val="1"/>
        </w:numPr>
        <w:tabs>
          <w:tab w:pos="1024" w:val="left" w:leader="none"/>
          <w:tab w:pos="1025" w:val="left" w:leader="none"/>
        </w:tabs>
        <w:spacing w:line="240" w:lineRule="auto" w:before="115" w:after="0"/>
        <w:ind w:left="1024" w:right="142" w:hanging="853"/>
        <w:jc w:val="both"/>
        <w:rPr>
          <w:sz w:val="22"/>
        </w:rPr>
      </w:pPr>
      <w:r>
        <w:rPr>
          <w:sz w:val="22"/>
        </w:rPr>
        <w:t>Využívat potenciál vodní energie Lužické Nisy a Jeřice, zavádění moderních technologií pro využívání dalších </w:t>
      </w:r>
      <w:r>
        <w:rPr>
          <w:b/>
          <w:sz w:val="22"/>
        </w:rPr>
        <w:t>alternativních zdrojů </w:t>
      </w:r>
      <w:r>
        <w:rPr>
          <w:sz w:val="22"/>
        </w:rPr>
        <w:t>energie soustředit na zdroje solární energie na objektech, realizace stožárů komerčních větrných elektráren</w:t>
      </w:r>
      <w:r>
        <w:rPr>
          <w:spacing w:val="-13"/>
          <w:sz w:val="22"/>
        </w:rPr>
        <w:t> </w:t>
      </w:r>
      <w:r>
        <w:rPr>
          <w:sz w:val="22"/>
        </w:rPr>
        <w:t>nepovolovat.</w:t>
      </w:r>
    </w:p>
    <w:p>
      <w:pPr>
        <w:pStyle w:val="Heading3"/>
        <w:spacing w:before="119"/>
      </w:pPr>
      <w:r>
        <w:rPr/>
        <w:t>DOPRAVNÍ INFRASTRUKTURA</w:t>
      </w:r>
    </w:p>
    <w:p>
      <w:pPr>
        <w:pStyle w:val="ListParagraph"/>
        <w:numPr>
          <w:ilvl w:val="0"/>
          <w:numId w:val="1"/>
        </w:numPr>
        <w:tabs>
          <w:tab w:pos="1024" w:val="left" w:leader="none"/>
          <w:tab w:pos="1025" w:val="left" w:leader="none"/>
        </w:tabs>
        <w:spacing w:line="240" w:lineRule="auto" w:before="119" w:after="0"/>
        <w:ind w:left="1024" w:right="146" w:hanging="852"/>
        <w:jc w:val="both"/>
        <w:rPr>
          <w:sz w:val="22"/>
        </w:rPr>
      </w:pPr>
      <w:r>
        <w:rPr>
          <w:sz w:val="22"/>
        </w:rPr>
        <w:t>Chránit dopravní koridor pro modernizaci a optimalizaci </w:t>
      </w:r>
      <w:r>
        <w:rPr>
          <w:b/>
          <w:sz w:val="22"/>
        </w:rPr>
        <w:t>železniční trati </w:t>
      </w:r>
      <w:r>
        <w:rPr>
          <w:sz w:val="22"/>
        </w:rPr>
        <w:t>ve směru na Liberec a Hrádek nad Nisou</w:t>
      </w:r>
      <w:r>
        <w:rPr>
          <w:spacing w:val="1"/>
          <w:sz w:val="22"/>
        </w:rPr>
        <w:t> </w:t>
      </w:r>
      <w:r>
        <w:rPr>
          <w:sz w:val="22"/>
        </w:rPr>
        <w:t>(SRN).</w:t>
      </w:r>
    </w:p>
    <w:p>
      <w:pPr>
        <w:pStyle w:val="ListParagraph"/>
        <w:numPr>
          <w:ilvl w:val="0"/>
          <w:numId w:val="1"/>
        </w:numPr>
        <w:tabs>
          <w:tab w:pos="1024" w:val="left" w:leader="none"/>
          <w:tab w:pos="1025" w:val="left" w:leader="none"/>
        </w:tabs>
        <w:spacing w:line="240" w:lineRule="auto" w:before="121" w:after="0"/>
        <w:ind w:left="1024" w:right="145" w:hanging="853"/>
        <w:jc w:val="both"/>
        <w:rPr>
          <w:sz w:val="22"/>
        </w:rPr>
      </w:pPr>
      <w:r>
        <w:rPr>
          <w:sz w:val="22"/>
        </w:rPr>
        <w:t>Stabilizovat význam silnice </w:t>
      </w:r>
      <w:r>
        <w:rPr>
          <w:b/>
          <w:sz w:val="22"/>
        </w:rPr>
        <w:t>I/35 </w:t>
      </w:r>
      <w:r>
        <w:rPr>
          <w:sz w:val="22"/>
        </w:rPr>
        <w:t>zajišťující v optimální poloze dopravní dostupnost území ze středoevropského</w:t>
      </w:r>
      <w:r>
        <w:rPr>
          <w:spacing w:val="-3"/>
          <w:sz w:val="22"/>
        </w:rPr>
        <w:t> </w:t>
      </w:r>
      <w:r>
        <w:rPr>
          <w:sz w:val="22"/>
        </w:rPr>
        <w:t>regionu.</w:t>
      </w:r>
    </w:p>
    <w:p>
      <w:pPr>
        <w:pStyle w:val="ListParagraph"/>
        <w:numPr>
          <w:ilvl w:val="0"/>
          <w:numId w:val="1"/>
        </w:numPr>
        <w:tabs>
          <w:tab w:pos="1024" w:val="left" w:leader="none"/>
          <w:tab w:pos="1025" w:val="left" w:leader="none"/>
        </w:tabs>
        <w:spacing w:line="240" w:lineRule="auto" w:before="120" w:after="0"/>
        <w:ind w:left="1024" w:right="146" w:hanging="852"/>
        <w:jc w:val="both"/>
        <w:rPr>
          <w:sz w:val="22"/>
        </w:rPr>
      </w:pPr>
      <w:r>
        <w:rPr>
          <w:sz w:val="22"/>
        </w:rPr>
        <w:t>V </w:t>
      </w:r>
      <w:r>
        <w:rPr>
          <w:b/>
          <w:sz w:val="22"/>
        </w:rPr>
        <w:t>dopravní kostře </w:t>
      </w:r>
      <w:r>
        <w:rPr>
          <w:sz w:val="22"/>
        </w:rPr>
        <w:t>města vybudovat přeložku silnice č. III/27250 z náměstí 1. máje východním směrem a dokompletovat ochranný okruh kolem centra na jeho jihozápadním okraji</w:t>
      </w:r>
    </w:p>
    <w:p>
      <w:pPr>
        <w:spacing w:after="0" w:line="240" w:lineRule="auto"/>
        <w:jc w:val="both"/>
        <w:rPr>
          <w:sz w:val="22"/>
        </w:rPr>
        <w:sectPr>
          <w:pgSz w:w="11900" w:h="16840"/>
          <w:pgMar w:header="561" w:footer="582" w:top="760" w:bottom="780" w:left="960" w:right="980"/>
        </w:sectPr>
      </w:pPr>
    </w:p>
    <w:p>
      <w:pPr>
        <w:pStyle w:val="BodyText"/>
        <w:spacing w:before="5"/>
        <w:ind w:left="0" w:firstLine="0"/>
        <w:jc w:val="left"/>
        <w:rPr>
          <w:sz w:val="21"/>
        </w:rPr>
      </w:pPr>
    </w:p>
    <w:p>
      <w:pPr>
        <w:pStyle w:val="ListParagraph"/>
        <w:numPr>
          <w:ilvl w:val="0"/>
          <w:numId w:val="2"/>
        </w:numPr>
        <w:tabs>
          <w:tab w:pos="1024" w:val="left" w:leader="none"/>
          <w:tab w:pos="1025" w:val="left" w:leader="none"/>
        </w:tabs>
        <w:spacing w:line="240" w:lineRule="auto" w:before="115" w:after="0"/>
        <w:ind w:left="1024" w:right="150" w:hanging="852"/>
        <w:jc w:val="left"/>
        <w:rPr>
          <w:sz w:val="22"/>
        </w:rPr>
      </w:pPr>
      <w:r>
        <w:rPr>
          <w:sz w:val="22"/>
        </w:rPr>
        <w:t>tím odstraňovat zbytnou tranzitní dopravu zejména v centru města a dopravně zklidňovat atraktivní prostory - zóny s omezenou dopravou, parkovací</w:t>
      </w:r>
      <w:r>
        <w:rPr>
          <w:spacing w:val="-13"/>
          <w:sz w:val="22"/>
        </w:rPr>
        <w:t> </w:t>
      </w:r>
      <w:r>
        <w:rPr>
          <w:sz w:val="22"/>
        </w:rPr>
        <w:t>systémy.</w:t>
      </w:r>
    </w:p>
    <w:p>
      <w:pPr>
        <w:pStyle w:val="ListParagraph"/>
        <w:numPr>
          <w:ilvl w:val="0"/>
          <w:numId w:val="1"/>
        </w:numPr>
        <w:tabs>
          <w:tab w:pos="1024" w:val="left" w:leader="none"/>
          <w:tab w:pos="1025" w:val="left" w:leader="none"/>
        </w:tabs>
        <w:spacing w:line="244" w:lineRule="auto" w:before="117" w:after="0"/>
        <w:ind w:left="1024" w:right="148" w:hanging="852"/>
        <w:jc w:val="left"/>
        <w:rPr>
          <w:sz w:val="22"/>
        </w:rPr>
      </w:pPr>
      <w:r>
        <w:rPr>
          <w:sz w:val="22"/>
        </w:rPr>
        <w:t>Posilovat systém </w:t>
      </w:r>
      <w:r>
        <w:rPr>
          <w:b/>
          <w:sz w:val="22"/>
        </w:rPr>
        <w:t>veřejné dopravy osob </w:t>
      </w:r>
      <w:r>
        <w:rPr>
          <w:sz w:val="22"/>
        </w:rPr>
        <w:t>(dále jen VDO) založený na síti autobusových linek s centrálním terminálem a stabilním počtem přepravovaných</w:t>
      </w:r>
      <w:r>
        <w:rPr>
          <w:spacing w:val="-6"/>
          <w:sz w:val="22"/>
        </w:rPr>
        <w:t> </w:t>
      </w:r>
      <w:r>
        <w:rPr>
          <w:sz w:val="22"/>
        </w:rPr>
        <w:t>osob.</w:t>
      </w:r>
    </w:p>
    <w:p>
      <w:pPr>
        <w:pStyle w:val="ListParagraph"/>
        <w:numPr>
          <w:ilvl w:val="0"/>
          <w:numId w:val="1"/>
        </w:numPr>
        <w:tabs>
          <w:tab w:pos="1024" w:val="left" w:leader="none"/>
          <w:tab w:pos="1025" w:val="left" w:leader="none"/>
        </w:tabs>
        <w:spacing w:line="240" w:lineRule="auto" w:before="112" w:after="0"/>
        <w:ind w:left="1024" w:right="146" w:hanging="853"/>
        <w:jc w:val="left"/>
        <w:rPr>
          <w:sz w:val="22"/>
        </w:rPr>
      </w:pPr>
      <w:r>
        <w:rPr>
          <w:sz w:val="22"/>
        </w:rPr>
        <w:t>Koordinovat jednotlivé dopravní systémy, optimalizovat dopravní obslužnost částí města  s upřednostňováním </w:t>
      </w:r>
      <w:r>
        <w:rPr>
          <w:b/>
          <w:sz w:val="22"/>
        </w:rPr>
        <w:t>bezmotorové</w:t>
      </w:r>
      <w:r>
        <w:rPr>
          <w:b/>
          <w:spacing w:val="1"/>
          <w:sz w:val="22"/>
        </w:rPr>
        <w:t> </w:t>
      </w:r>
      <w:r>
        <w:rPr>
          <w:b/>
          <w:sz w:val="22"/>
        </w:rPr>
        <w:t>dopravy</w:t>
      </w:r>
      <w:r>
        <w:rPr>
          <w:sz w:val="22"/>
        </w:rPr>
        <w:t>,</w:t>
      </w:r>
    </w:p>
    <w:p>
      <w:pPr>
        <w:pStyle w:val="ListParagraph"/>
        <w:numPr>
          <w:ilvl w:val="0"/>
          <w:numId w:val="2"/>
        </w:numPr>
        <w:tabs>
          <w:tab w:pos="1024" w:val="left" w:leader="none"/>
          <w:tab w:pos="1025" w:val="left" w:leader="none"/>
        </w:tabs>
        <w:spacing w:line="240" w:lineRule="auto" w:before="61" w:after="0"/>
        <w:ind w:left="1024" w:right="143" w:hanging="853"/>
        <w:jc w:val="left"/>
        <w:rPr>
          <w:sz w:val="22"/>
        </w:rPr>
      </w:pPr>
      <w:r>
        <w:rPr>
          <w:sz w:val="22"/>
        </w:rPr>
        <w:t>rozvíjet síť cyklotras včetně cyklokoridorů mezinárodního významu při respektování specifických terénních podmínek města a historických dopravních</w:t>
      </w:r>
      <w:r>
        <w:rPr>
          <w:spacing w:val="-9"/>
          <w:sz w:val="22"/>
        </w:rPr>
        <w:t> </w:t>
      </w:r>
      <w:r>
        <w:rPr>
          <w:sz w:val="22"/>
        </w:rPr>
        <w:t>tras,</w:t>
      </w:r>
    </w:p>
    <w:p>
      <w:pPr>
        <w:pStyle w:val="ListParagraph"/>
        <w:numPr>
          <w:ilvl w:val="0"/>
          <w:numId w:val="2"/>
        </w:numPr>
        <w:tabs>
          <w:tab w:pos="1024" w:val="left" w:leader="none"/>
          <w:tab w:pos="1025" w:val="left" w:leader="none"/>
        </w:tabs>
        <w:spacing w:line="240" w:lineRule="auto" w:before="59" w:after="0"/>
        <w:ind w:left="1024" w:right="146" w:hanging="853"/>
        <w:jc w:val="left"/>
        <w:rPr>
          <w:sz w:val="22"/>
        </w:rPr>
      </w:pPr>
      <w:r>
        <w:rPr>
          <w:sz w:val="22"/>
        </w:rPr>
        <w:t>vytvářet podmínky pro rozvojové aktivity cestovního ruchu v rámci multifunkčních turistických koridorů Nová Hřebenovka a Lužická</w:t>
      </w:r>
      <w:r>
        <w:rPr>
          <w:spacing w:val="-12"/>
          <w:sz w:val="22"/>
        </w:rPr>
        <w:t> </w:t>
      </w:r>
      <w:r>
        <w:rPr>
          <w:sz w:val="22"/>
        </w:rPr>
        <w:t>Nisa.</w:t>
      </w:r>
    </w:p>
    <w:p>
      <w:pPr>
        <w:pStyle w:val="Heading3"/>
      </w:pPr>
      <w:r>
        <w:rPr/>
        <w:t>VODNÍ HOSPODÁŘSTVÍ</w:t>
      </w:r>
    </w:p>
    <w:p>
      <w:pPr>
        <w:pStyle w:val="ListParagraph"/>
        <w:numPr>
          <w:ilvl w:val="0"/>
          <w:numId w:val="1"/>
        </w:numPr>
        <w:tabs>
          <w:tab w:pos="1024" w:val="left" w:leader="none"/>
          <w:tab w:pos="1025" w:val="left" w:leader="none"/>
        </w:tabs>
        <w:spacing w:line="240" w:lineRule="auto" w:before="122" w:after="0"/>
        <w:ind w:left="1024" w:right="146" w:hanging="853"/>
        <w:jc w:val="both"/>
        <w:rPr>
          <w:sz w:val="22"/>
        </w:rPr>
      </w:pPr>
      <w:r>
        <w:rPr>
          <w:sz w:val="22"/>
        </w:rPr>
        <w:t>Dobrou vybavenost města technickou infrastrukturou (komplexní napojení na skupinový vodovod, městská kanalizace včetně centrální ČOV) doplnit o dílčí </w:t>
      </w:r>
      <w:r>
        <w:rPr>
          <w:b/>
          <w:sz w:val="22"/>
        </w:rPr>
        <w:t>rozšíření systémů </w:t>
      </w:r>
      <w:r>
        <w:rPr>
          <w:sz w:val="22"/>
        </w:rPr>
        <w:t>zejména v okrajových částech města a venkovských</w:t>
      </w:r>
      <w:r>
        <w:rPr>
          <w:spacing w:val="-9"/>
          <w:sz w:val="22"/>
        </w:rPr>
        <w:t> </w:t>
      </w:r>
      <w:r>
        <w:rPr>
          <w:sz w:val="22"/>
        </w:rPr>
        <w:t>sídlech.</w:t>
      </w:r>
    </w:p>
    <w:p>
      <w:pPr>
        <w:pStyle w:val="ListParagraph"/>
        <w:numPr>
          <w:ilvl w:val="0"/>
          <w:numId w:val="1"/>
        </w:numPr>
        <w:tabs>
          <w:tab w:pos="1024" w:val="left" w:leader="none"/>
          <w:tab w:pos="1025" w:val="left" w:leader="none"/>
        </w:tabs>
        <w:spacing w:line="244" w:lineRule="auto" w:before="117" w:after="0"/>
        <w:ind w:left="1024" w:right="148" w:hanging="852"/>
        <w:jc w:val="both"/>
        <w:rPr>
          <w:sz w:val="22"/>
        </w:rPr>
      </w:pPr>
      <w:r>
        <w:rPr>
          <w:sz w:val="22"/>
        </w:rPr>
        <w:t>Chránit veškeré </w:t>
      </w:r>
      <w:r>
        <w:rPr>
          <w:b/>
          <w:sz w:val="22"/>
        </w:rPr>
        <w:t>zdroje pitné vody </w:t>
      </w:r>
      <w:r>
        <w:rPr>
          <w:sz w:val="22"/>
        </w:rPr>
        <w:t>spolu s vyřešeným systémem dovedení pitné vody do zastavěného</w:t>
      </w:r>
      <w:r>
        <w:rPr>
          <w:spacing w:val="-1"/>
          <w:sz w:val="22"/>
        </w:rPr>
        <w:t> </w:t>
      </w:r>
      <w:r>
        <w:rPr>
          <w:sz w:val="22"/>
        </w:rPr>
        <w:t>území.</w:t>
      </w:r>
    </w:p>
    <w:p>
      <w:pPr>
        <w:pStyle w:val="ListParagraph"/>
        <w:numPr>
          <w:ilvl w:val="0"/>
          <w:numId w:val="1"/>
        </w:numPr>
        <w:tabs>
          <w:tab w:pos="1024" w:val="left" w:leader="none"/>
          <w:tab w:pos="1025" w:val="left" w:leader="none"/>
        </w:tabs>
        <w:spacing w:line="240" w:lineRule="auto" w:before="110" w:after="0"/>
        <w:ind w:left="1024" w:right="147" w:hanging="852"/>
        <w:jc w:val="left"/>
        <w:rPr>
          <w:sz w:val="22"/>
        </w:rPr>
      </w:pPr>
      <w:r>
        <w:rPr>
          <w:sz w:val="22"/>
        </w:rPr>
        <w:t>Kontinuálně rozvíjet systémy </w:t>
      </w:r>
      <w:r>
        <w:rPr>
          <w:b/>
          <w:sz w:val="22"/>
        </w:rPr>
        <w:t>zásobování vodou </w:t>
      </w:r>
      <w:r>
        <w:rPr>
          <w:sz w:val="22"/>
        </w:rPr>
        <w:t>na rozvojových plochách města, zachovat vysoký podíl napojených obyvatel na vodovodní</w:t>
      </w:r>
      <w:r>
        <w:rPr>
          <w:spacing w:val="-7"/>
          <w:sz w:val="22"/>
        </w:rPr>
        <w:t> </w:t>
      </w:r>
      <w:r>
        <w:rPr>
          <w:sz w:val="22"/>
        </w:rPr>
        <w:t>systém.</w:t>
      </w:r>
    </w:p>
    <w:p>
      <w:pPr>
        <w:pStyle w:val="ListParagraph"/>
        <w:numPr>
          <w:ilvl w:val="0"/>
          <w:numId w:val="1"/>
        </w:numPr>
        <w:tabs>
          <w:tab w:pos="1024" w:val="left" w:leader="none"/>
          <w:tab w:pos="1025" w:val="left" w:leader="none"/>
        </w:tabs>
        <w:spacing w:line="240" w:lineRule="auto" w:before="121" w:after="0"/>
        <w:ind w:left="1024" w:right="148" w:hanging="852"/>
        <w:jc w:val="left"/>
        <w:rPr>
          <w:sz w:val="22"/>
        </w:rPr>
      </w:pPr>
      <w:r>
        <w:rPr>
          <w:sz w:val="22"/>
        </w:rPr>
        <w:t>Územně stabilizovat </w:t>
      </w:r>
      <w:r>
        <w:rPr>
          <w:b/>
          <w:sz w:val="22"/>
        </w:rPr>
        <w:t>rekonstruovanou ČOV </w:t>
      </w:r>
      <w:r>
        <w:rPr>
          <w:sz w:val="22"/>
        </w:rPr>
        <w:t>s dostatečnou kapacitou a doplnit ji o nové technologie.</w:t>
      </w:r>
    </w:p>
    <w:p>
      <w:pPr>
        <w:pStyle w:val="ListParagraph"/>
        <w:numPr>
          <w:ilvl w:val="0"/>
          <w:numId w:val="1"/>
        </w:numPr>
        <w:tabs>
          <w:tab w:pos="1024" w:val="left" w:leader="none"/>
          <w:tab w:pos="1025" w:val="left" w:leader="none"/>
        </w:tabs>
        <w:spacing w:line="240" w:lineRule="auto" w:before="120" w:after="0"/>
        <w:ind w:left="1024" w:right="146" w:hanging="852"/>
        <w:jc w:val="left"/>
        <w:rPr>
          <w:sz w:val="22"/>
        </w:rPr>
      </w:pPr>
      <w:r>
        <w:rPr>
          <w:sz w:val="22"/>
        </w:rPr>
        <w:t>Výrazně rozšiřovat </w:t>
      </w:r>
      <w:r>
        <w:rPr>
          <w:b/>
          <w:sz w:val="22"/>
        </w:rPr>
        <w:t>stokovou síť </w:t>
      </w:r>
      <w:r>
        <w:rPr>
          <w:sz w:val="22"/>
        </w:rPr>
        <w:t>splaškových vod s napojením na centrální ČOV do okrajových částí města i za cenu nutného</w:t>
      </w:r>
      <w:r>
        <w:rPr>
          <w:spacing w:val="-11"/>
          <w:sz w:val="22"/>
        </w:rPr>
        <w:t> </w:t>
      </w:r>
      <w:r>
        <w:rPr>
          <w:sz w:val="22"/>
        </w:rPr>
        <w:t>přečerpávání.</w:t>
      </w:r>
    </w:p>
    <w:p>
      <w:pPr>
        <w:pStyle w:val="ListParagraph"/>
        <w:numPr>
          <w:ilvl w:val="0"/>
          <w:numId w:val="1"/>
        </w:numPr>
        <w:tabs>
          <w:tab w:pos="1024" w:val="left" w:leader="none"/>
          <w:tab w:pos="1025" w:val="left" w:leader="none"/>
        </w:tabs>
        <w:spacing w:line="240" w:lineRule="auto" w:before="118" w:after="0"/>
        <w:ind w:left="1024" w:right="0" w:hanging="853"/>
        <w:jc w:val="left"/>
        <w:rPr>
          <w:sz w:val="22"/>
        </w:rPr>
      </w:pPr>
      <w:r>
        <w:rPr>
          <w:b/>
          <w:sz w:val="22"/>
        </w:rPr>
        <w:t>Srážkové vody </w:t>
      </w:r>
      <w:r>
        <w:rPr>
          <w:sz w:val="22"/>
        </w:rPr>
        <w:t>co nejvíce zasakovat v místě, zbylé regulovaně odvádět do</w:t>
      </w:r>
      <w:r>
        <w:rPr>
          <w:spacing w:val="-22"/>
          <w:sz w:val="22"/>
        </w:rPr>
        <w:t> </w:t>
      </w:r>
      <w:r>
        <w:rPr>
          <w:sz w:val="22"/>
        </w:rPr>
        <w:t>vodotečí.</w:t>
      </w:r>
    </w:p>
    <w:p>
      <w:pPr>
        <w:pStyle w:val="Heading3"/>
        <w:spacing w:before="122"/>
      </w:pPr>
      <w:r>
        <w:rPr/>
        <w:t>ENERGETIKA</w:t>
      </w:r>
    </w:p>
    <w:p>
      <w:pPr>
        <w:pStyle w:val="ListParagraph"/>
        <w:numPr>
          <w:ilvl w:val="0"/>
          <w:numId w:val="1"/>
        </w:numPr>
        <w:tabs>
          <w:tab w:pos="1024" w:val="left" w:leader="none"/>
          <w:tab w:pos="1025" w:val="left" w:leader="none"/>
        </w:tabs>
        <w:spacing w:line="240" w:lineRule="auto" w:before="121" w:after="0"/>
        <w:ind w:left="1024" w:right="145" w:hanging="852"/>
        <w:jc w:val="both"/>
        <w:rPr>
          <w:sz w:val="22"/>
        </w:rPr>
      </w:pPr>
      <w:r>
        <w:rPr>
          <w:sz w:val="22"/>
        </w:rPr>
        <w:t>Dobrou vybavenost města technickou infrastrukturou (plynofikace, částečné centrální zásobování teplem) doplnit o dílčí </w:t>
      </w:r>
      <w:r>
        <w:rPr>
          <w:b/>
          <w:sz w:val="22"/>
        </w:rPr>
        <w:t>rozšíření systémů </w:t>
      </w:r>
      <w:r>
        <w:rPr>
          <w:sz w:val="22"/>
        </w:rPr>
        <w:t>zejména v okrajových částech města a venkovských</w:t>
      </w:r>
      <w:r>
        <w:rPr>
          <w:spacing w:val="-3"/>
          <w:sz w:val="22"/>
        </w:rPr>
        <w:t> </w:t>
      </w:r>
      <w:r>
        <w:rPr>
          <w:sz w:val="22"/>
        </w:rPr>
        <w:t>sídlech.</w:t>
      </w:r>
    </w:p>
    <w:p>
      <w:pPr>
        <w:pStyle w:val="ListParagraph"/>
        <w:numPr>
          <w:ilvl w:val="0"/>
          <w:numId w:val="1"/>
        </w:numPr>
        <w:tabs>
          <w:tab w:pos="1024" w:val="left" w:leader="none"/>
          <w:tab w:pos="1025" w:val="left" w:leader="none"/>
        </w:tabs>
        <w:spacing w:line="240" w:lineRule="auto" w:before="119" w:after="0"/>
        <w:ind w:left="1024" w:right="146" w:hanging="852"/>
        <w:jc w:val="both"/>
        <w:rPr>
          <w:sz w:val="22"/>
        </w:rPr>
      </w:pPr>
      <w:r>
        <w:rPr>
          <w:sz w:val="22"/>
        </w:rPr>
        <w:t>Vytvářet územní podmínky pro realizaci rozsáhlého </w:t>
      </w:r>
      <w:r>
        <w:rPr>
          <w:b/>
          <w:sz w:val="22"/>
        </w:rPr>
        <w:t>programu úspor energie </w:t>
      </w:r>
      <w:r>
        <w:rPr>
          <w:sz w:val="22"/>
        </w:rPr>
        <w:t>v oblastech výrobních, distribučních a spotřebních</w:t>
      </w:r>
      <w:r>
        <w:rPr>
          <w:spacing w:val="-2"/>
          <w:sz w:val="22"/>
        </w:rPr>
        <w:t> </w:t>
      </w:r>
      <w:r>
        <w:rPr>
          <w:sz w:val="22"/>
        </w:rPr>
        <w:t>systémů,</w:t>
      </w:r>
    </w:p>
    <w:p>
      <w:pPr>
        <w:pStyle w:val="ListParagraph"/>
        <w:numPr>
          <w:ilvl w:val="0"/>
          <w:numId w:val="2"/>
        </w:numPr>
        <w:tabs>
          <w:tab w:pos="1024" w:val="left" w:leader="none"/>
          <w:tab w:pos="1025" w:val="left" w:leader="none"/>
        </w:tabs>
        <w:spacing w:line="240" w:lineRule="auto" w:before="20" w:after="0"/>
        <w:ind w:left="1024" w:right="0" w:hanging="853"/>
        <w:jc w:val="both"/>
        <w:rPr>
          <w:sz w:val="22"/>
        </w:rPr>
      </w:pPr>
      <w:r>
        <w:rPr>
          <w:sz w:val="22"/>
        </w:rPr>
        <w:t>preferovat alternativní zdroje s přihlédnutím k požadavkům na eliminaci lokálních</w:t>
      </w:r>
      <w:r>
        <w:rPr>
          <w:spacing w:val="-31"/>
          <w:sz w:val="22"/>
        </w:rPr>
        <w:t> </w:t>
      </w:r>
      <w:r>
        <w:rPr>
          <w:sz w:val="22"/>
        </w:rPr>
        <w:t>topenišť,</w:t>
      </w:r>
    </w:p>
    <w:p>
      <w:pPr>
        <w:pStyle w:val="ListParagraph"/>
        <w:numPr>
          <w:ilvl w:val="0"/>
          <w:numId w:val="2"/>
        </w:numPr>
        <w:tabs>
          <w:tab w:pos="1024" w:val="left" w:leader="none"/>
          <w:tab w:pos="1025" w:val="left" w:leader="none"/>
        </w:tabs>
        <w:spacing w:line="240" w:lineRule="auto" w:before="20" w:after="0"/>
        <w:ind w:left="1024" w:right="0" w:hanging="853"/>
        <w:jc w:val="both"/>
        <w:rPr>
          <w:sz w:val="22"/>
        </w:rPr>
      </w:pPr>
      <w:r>
        <w:rPr>
          <w:sz w:val="22"/>
        </w:rPr>
        <w:t>preferovat výstavbu nízkoenergetických a pasivních</w:t>
      </w:r>
      <w:r>
        <w:rPr>
          <w:spacing w:val="-1"/>
          <w:sz w:val="22"/>
        </w:rPr>
        <w:t> </w:t>
      </w:r>
      <w:r>
        <w:rPr>
          <w:sz w:val="22"/>
        </w:rPr>
        <w:t>domů.</w:t>
      </w:r>
    </w:p>
    <w:p>
      <w:pPr>
        <w:pStyle w:val="ListParagraph"/>
        <w:numPr>
          <w:ilvl w:val="0"/>
          <w:numId w:val="1"/>
        </w:numPr>
        <w:tabs>
          <w:tab w:pos="1024" w:val="left" w:leader="none"/>
          <w:tab w:pos="1025" w:val="left" w:leader="none"/>
        </w:tabs>
        <w:spacing w:line="240" w:lineRule="auto" w:before="99" w:after="0"/>
        <w:ind w:left="1024" w:right="146" w:hanging="853"/>
        <w:jc w:val="both"/>
        <w:rPr>
          <w:sz w:val="22"/>
        </w:rPr>
      </w:pPr>
      <w:r>
        <w:rPr>
          <w:sz w:val="22"/>
        </w:rPr>
        <w:t>Využít značné plošné pokrytí území kapacitními </w:t>
      </w:r>
      <w:r>
        <w:rPr>
          <w:b/>
          <w:sz w:val="22"/>
        </w:rPr>
        <w:t>rozvody zemního plynu </w:t>
      </w:r>
      <w:r>
        <w:rPr>
          <w:sz w:val="22"/>
        </w:rPr>
        <w:t>prioritně pro zásobování decentralizovaných</w:t>
      </w:r>
      <w:r>
        <w:rPr>
          <w:spacing w:val="-4"/>
          <w:sz w:val="22"/>
        </w:rPr>
        <w:t> </w:t>
      </w:r>
      <w:r>
        <w:rPr>
          <w:sz w:val="22"/>
        </w:rPr>
        <w:t>zdrojů.</w:t>
      </w:r>
    </w:p>
    <w:p>
      <w:pPr>
        <w:pStyle w:val="ListParagraph"/>
        <w:numPr>
          <w:ilvl w:val="0"/>
          <w:numId w:val="1"/>
        </w:numPr>
        <w:tabs>
          <w:tab w:pos="1024" w:val="left" w:leader="none"/>
          <w:tab w:pos="1025" w:val="left" w:leader="none"/>
        </w:tabs>
        <w:spacing w:line="240" w:lineRule="auto" w:before="98" w:after="0"/>
        <w:ind w:left="1024" w:right="0" w:hanging="853"/>
        <w:jc w:val="both"/>
        <w:rPr>
          <w:sz w:val="22"/>
        </w:rPr>
      </w:pPr>
      <w:r>
        <w:rPr>
          <w:sz w:val="22"/>
        </w:rPr>
        <w:t>Kontinuálně rekonstruovat a rozvíjet rozvody </w:t>
      </w:r>
      <w:r>
        <w:rPr>
          <w:b/>
          <w:sz w:val="22"/>
        </w:rPr>
        <w:t>VN </w:t>
      </w:r>
      <w:r>
        <w:rPr>
          <w:sz w:val="22"/>
        </w:rPr>
        <w:t>v rozvojových oblastech</w:t>
      </w:r>
      <w:r>
        <w:rPr>
          <w:spacing w:val="-12"/>
          <w:sz w:val="22"/>
        </w:rPr>
        <w:t> </w:t>
      </w:r>
      <w:r>
        <w:rPr>
          <w:sz w:val="22"/>
        </w:rPr>
        <w:t>města.</w:t>
      </w:r>
    </w:p>
    <w:p>
      <w:pPr>
        <w:pStyle w:val="Heading3"/>
        <w:spacing w:before="119"/>
      </w:pPr>
      <w:r>
        <w:rPr/>
        <w:t>ZPŮSOB VYUŽITÍ ÚZEMÍ</w:t>
      </w:r>
    </w:p>
    <w:p>
      <w:pPr>
        <w:pStyle w:val="ListParagraph"/>
        <w:numPr>
          <w:ilvl w:val="0"/>
          <w:numId w:val="1"/>
        </w:numPr>
        <w:tabs>
          <w:tab w:pos="1024" w:val="left" w:leader="none"/>
          <w:tab w:pos="1025" w:val="left" w:leader="none"/>
        </w:tabs>
        <w:spacing w:line="240" w:lineRule="auto" w:before="103" w:after="0"/>
        <w:ind w:left="1024" w:right="149" w:hanging="852"/>
        <w:jc w:val="both"/>
        <w:rPr>
          <w:sz w:val="22"/>
        </w:rPr>
      </w:pPr>
      <w:r>
        <w:rPr>
          <w:sz w:val="22"/>
        </w:rPr>
        <w:t>Při realizaci zastavitelných ploch rozvíjet </w:t>
      </w:r>
      <w:r>
        <w:rPr>
          <w:b/>
          <w:sz w:val="22"/>
        </w:rPr>
        <w:t>provázanost zastavěných ploch s krajinným zázemím </w:t>
      </w:r>
      <w:r>
        <w:rPr>
          <w:sz w:val="22"/>
        </w:rPr>
        <w:t>nezastavitelných enkláv údolí a</w:t>
      </w:r>
      <w:r>
        <w:rPr>
          <w:spacing w:val="-6"/>
          <w:sz w:val="22"/>
        </w:rPr>
        <w:t> </w:t>
      </w:r>
      <w:r>
        <w:rPr>
          <w:sz w:val="22"/>
        </w:rPr>
        <w:t>svahů,</w:t>
      </w:r>
    </w:p>
    <w:p>
      <w:pPr>
        <w:pStyle w:val="ListParagraph"/>
        <w:numPr>
          <w:ilvl w:val="0"/>
          <w:numId w:val="2"/>
        </w:numPr>
        <w:tabs>
          <w:tab w:pos="1024" w:val="left" w:leader="none"/>
          <w:tab w:pos="1025" w:val="left" w:leader="none"/>
        </w:tabs>
        <w:spacing w:line="240" w:lineRule="auto" w:before="60" w:after="0"/>
        <w:ind w:left="1024" w:right="145" w:hanging="852"/>
        <w:jc w:val="both"/>
        <w:rPr>
          <w:sz w:val="22"/>
        </w:rPr>
      </w:pPr>
      <w:r>
        <w:rPr>
          <w:sz w:val="22"/>
        </w:rPr>
        <w:t>respektovat revitalizované i nově navržené pásy městské a krajinné zeleně pronikající      z příměstské krajiny hluboko do prostorové struktury</w:t>
      </w:r>
      <w:r>
        <w:rPr>
          <w:spacing w:val="-14"/>
          <w:sz w:val="22"/>
        </w:rPr>
        <w:t> </w:t>
      </w:r>
      <w:r>
        <w:rPr>
          <w:sz w:val="22"/>
        </w:rPr>
        <w:t>města.</w:t>
      </w:r>
    </w:p>
    <w:p>
      <w:pPr>
        <w:pStyle w:val="ListParagraph"/>
        <w:numPr>
          <w:ilvl w:val="0"/>
          <w:numId w:val="1"/>
        </w:numPr>
        <w:tabs>
          <w:tab w:pos="1024" w:val="left" w:leader="none"/>
          <w:tab w:pos="1025" w:val="left" w:leader="none"/>
        </w:tabs>
        <w:spacing w:line="240" w:lineRule="auto" w:before="98" w:after="0"/>
        <w:ind w:left="1024" w:right="146" w:hanging="852"/>
        <w:jc w:val="both"/>
        <w:rPr>
          <w:sz w:val="22"/>
        </w:rPr>
      </w:pPr>
      <w:r>
        <w:rPr>
          <w:sz w:val="22"/>
        </w:rPr>
        <w:t>Stabilizovat soubor ploch </w:t>
      </w:r>
      <w:r>
        <w:rPr>
          <w:b/>
          <w:sz w:val="22"/>
        </w:rPr>
        <w:t>veřejných prostranství </w:t>
      </w:r>
      <w:r>
        <w:rPr>
          <w:sz w:val="22"/>
        </w:rPr>
        <w:t>– zejména náměstí, ulic, ploch veřejné zeleně a dalších prostor přístupných každému bez omezení a zřizovaných nebo užívaných na území města Chrastava ve veřejném</w:t>
      </w:r>
      <w:r>
        <w:rPr>
          <w:spacing w:val="-4"/>
          <w:sz w:val="22"/>
        </w:rPr>
        <w:t> </w:t>
      </w:r>
      <w:r>
        <w:rPr>
          <w:sz w:val="22"/>
        </w:rPr>
        <w:t>zájmu,</w:t>
      </w:r>
    </w:p>
    <w:p>
      <w:pPr>
        <w:pStyle w:val="ListParagraph"/>
        <w:numPr>
          <w:ilvl w:val="0"/>
          <w:numId w:val="2"/>
        </w:numPr>
        <w:tabs>
          <w:tab w:pos="1024" w:val="left" w:leader="none"/>
          <w:tab w:pos="1025" w:val="left" w:leader="none"/>
        </w:tabs>
        <w:spacing w:line="240" w:lineRule="auto" w:before="62" w:after="0"/>
        <w:ind w:left="1024" w:right="146" w:hanging="852"/>
        <w:jc w:val="both"/>
        <w:rPr>
          <w:sz w:val="22"/>
        </w:rPr>
      </w:pPr>
      <w:r>
        <w:rPr>
          <w:sz w:val="22"/>
        </w:rPr>
        <w:t>podrobnější dokumentací zajistit vznik nových a revitalizaci stávajících nejasně vymezených veřejných prostranství v ostatních plochách s rozdílným způsobem využití    s cílem omezení ubývání veřejného městského prostoru, zajištění prostupnosti městské krajiny a vytváření územních podmínek pro podporu programu</w:t>
      </w:r>
      <w:r>
        <w:rPr>
          <w:spacing w:val="-11"/>
          <w:sz w:val="22"/>
        </w:rPr>
        <w:t> </w:t>
      </w:r>
      <w:r>
        <w:rPr>
          <w:sz w:val="22"/>
        </w:rPr>
        <w:t>mobility.</w:t>
      </w:r>
    </w:p>
    <w:p>
      <w:pPr>
        <w:spacing w:after="0" w:line="240" w:lineRule="auto"/>
        <w:jc w:val="both"/>
        <w:rPr>
          <w:sz w:val="22"/>
        </w:rPr>
        <w:sectPr>
          <w:pgSz w:w="11900" w:h="16840"/>
          <w:pgMar w:header="561" w:footer="582" w:top="760" w:bottom="780" w:left="960" w:right="980"/>
        </w:sectPr>
      </w:pPr>
    </w:p>
    <w:p>
      <w:pPr>
        <w:pStyle w:val="BodyText"/>
        <w:spacing w:before="8"/>
        <w:ind w:left="0" w:firstLine="0"/>
        <w:jc w:val="left"/>
      </w:pPr>
    </w:p>
    <w:p>
      <w:pPr>
        <w:pStyle w:val="Heading2"/>
        <w:numPr>
          <w:ilvl w:val="2"/>
          <w:numId w:val="3"/>
        </w:numPr>
        <w:tabs>
          <w:tab w:pos="1025" w:val="left" w:leader="none"/>
        </w:tabs>
        <w:spacing w:line="240" w:lineRule="auto" w:before="99" w:after="0"/>
        <w:ind w:left="1024" w:right="0" w:hanging="853"/>
        <w:jc w:val="both"/>
      </w:pPr>
      <w:r>
        <w:rPr/>
        <w:t>SOCIÁLNÍ</w:t>
      </w:r>
      <w:r>
        <w:rPr>
          <w:spacing w:val="-2"/>
        </w:rPr>
        <w:t> </w:t>
      </w:r>
      <w:r>
        <w:rPr/>
        <w:t>PILÍŘ</w:t>
      </w:r>
    </w:p>
    <w:p>
      <w:pPr>
        <w:pStyle w:val="Heading3"/>
        <w:spacing w:before="120"/>
      </w:pPr>
      <w:r>
        <w:rPr/>
        <w:t>OBYVATELSTVO, BYTOVÝ FOND</w:t>
      </w:r>
    </w:p>
    <w:p>
      <w:pPr>
        <w:pStyle w:val="ListParagraph"/>
        <w:numPr>
          <w:ilvl w:val="0"/>
          <w:numId w:val="1"/>
        </w:numPr>
        <w:tabs>
          <w:tab w:pos="1024" w:val="left" w:leader="none"/>
          <w:tab w:pos="1025" w:val="left" w:leader="none"/>
        </w:tabs>
        <w:spacing w:line="240" w:lineRule="auto" w:before="100" w:after="0"/>
        <w:ind w:left="1024" w:right="0" w:hanging="853"/>
        <w:jc w:val="both"/>
        <w:rPr>
          <w:sz w:val="22"/>
        </w:rPr>
      </w:pPr>
      <w:r>
        <w:rPr>
          <w:b/>
          <w:sz w:val="22"/>
        </w:rPr>
        <w:t>Výhledovou velikost </w:t>
      </w:r>
      <w:r>
        <w:rPr>
          <w:sz w:val="22"/>
        </w:rPr>
        <w:t>k roku 2025 se předpokládat cca 6 300 trvale bydlících</w:t>
      </w:r>
      <w:r>
        <w:rPr>
          <w:spacing w:val="-26"/>
          <w:sz w:val="22"/>
        </w:rPr>
        <w:t> </w:t>
      </w:r>
      <w:r>
        <w:rPr>
          <w:sz w:val="22"/>
        </w:rPr>
        <w:t>obyvatel.</w:t>
      </w:r>
    </w:p>
    <w:p>
      <w:pPr>
        <w:pStyle w:val="ListParagraph"/>
        <w:numPr>
          <w:ilvl w:val="0"/>
          <w:numId w:val="1"/>
        </w:numPr>
        <w:tabs>
          <w:tab w:pos="1024" w:val="left" w:leader="none"/>
          <w:tab w:pos="1025" w:val="left" w:leader="none"/>
        </w:tabs>
        <w:spacing w:line="237" w:lineRule="auto" w:before="106" w:after="0"/>
        <w:ind w:left="1024" w:right="148" w:hanging="852"/>
        <w:jc w:val="both"/>
        <w:rPr>
          <w:sz w:val="22"/>
        </w:rPr>
      </w:pPr>
      <w:r>
        <w:rPr>
          <w:sz w:val="22"/>
        </w:rPr>
        <w:t>Rozvíjet ve městě Chrastava jako centru mikroregionálního významu nižšího stupně vedle ekonomických zejména </w:t>
      </w:r>
      <w:r>
        <w:rPr>
          <w:b/>
          <w:sz w:val="22"/>
        </w:rPr>
        <w:t>obytné, rekreační a obslužné</w:t>
      </w:r>
      <w:r>
        <w:rPr>
          <w:b/>
          <w:spacing w:val="-7"/>
          <w:sz w:val="22"/>
        </w:rPr>
        <w:t> </w:t>
      </w:r>
      <w:r>
        <w:rPr>
          <w:sz w:val="22"/>
        </w:rPr>
        <w:t>funkce,</w:t>
      </w:r>
    </w:p>
    <w:p>
      <w:pPr>
        <w:pStyle w:val="ListParagraph"/>
        <w:numPr>
          <w:ilvl w:val="0"/>
          <w:numId w:val="2"/>
        </w:numPr>
        <w:tabs>
          <w:tab w:pos="1024" w:val="left" w:leader="none"/>
          <w:tab w:pos="1025" w:val="left" w:leader="none"/>
        </w:tabs>
        <w:spacing w:line="240" w:lineRule="auto" w:before="61" w:after="0"/>
        <w:ind w:left="1024" w:right="146" w:hanging="852"/>
        <w:jc w:val="both"/>
        <w:rPr>
          <w:sz w:val="22"/>
        </w:rPr>
      </w:pPr>
      <w:r>
        <w:rPr>
          <w:sz w:val="22"/>
        </w:rPr>
        <w:t>využívat blízké polohy vůči krajskému městu Liberec ve všech oblastech, kde je to možné a účelné, zvyšovat funkční kooperace na bázi intenzivnějších pracovních a obslužných kontaktů mezi centry osídlení Liberec a Hrádek nad</w:t>
      </w:r>
      <w:r>
        <w:rPr>
          <w:spacing w:val="-10"/>
          <w:sz w:val="22"/>
        </w:rPr>
        <w:t> </w:t>
      </w:r>
      <w:r>
        <w:rPr>
          <w:sz w:val="22"/>
        </w:rPr>
        <w:t>Nisou.</w:t>
      </w:r>
    </w:p>
    <w:p>
      <w:pPr>
        <w:pStyle w:val="ListParagraph"/>
        <w:numPr>
          <w:ilvl w:val="0"/>
          <w:numId w:val="1"/>
        </w:numPr>
        <w:tabs>
          <w:tab w:pos="1024" w:val="left" w:leader="none"/>
          <w:tab w:pos="1025" w:val="left" w:leader="none"/>
        </w:tabs>
        <w:spacing w:line="240" w:lineRule="auto" w:before="100" w:after="0"/>
        <w:ind w:left="1024" w:right="145" w:hanging="852"/>
        <w:jc w:val="both"/>
        <w:rPr>
          <w:sz w:val="22"/>
        </w:rPr>
      </w:pPr>
      <w:r>
        <w:rPr>
          <w:sz w:val="22"/>
        </w:rPr>
        <w:t>S ohledem na relativní stabilitu místního obyvatelstva a mírný demografický růst způsobený </w:t>
      </w:r>
      <w:r>
        <w:rPr>
          <w:b/>
          <w:sz w:val="22"/>
        </w:rPr>
        <w:t>pozitivní migrací </w:t>
      </w:r>
      <w:r>
        <w:rPr>
          <w:sz w:val="22"/>
        </w:rPr>
        <w:t>rozvíjet město jako stabilizovaný sídelní útvar s rozvojovými plochami v prolukách a na okrajích zastavěného území jak jádrového sídelního útvaru, tak i venkovských</w:t>
      </w:r>
      <w:r>
        <w:rPr>
          <w:spacing w:val="-1"/>
          <w:sz w:val="22"/>
        </w:rPr>
        <w:t> </w:t>
      </w:r>
      <w:r>
        <w:rPr>
          <w:sz w:val="22"/>
        </w:rPr>
        <w:t>sídel.</w:t>
      </w:r>
    </w:p>
    <w:p>
      <w:pPr>
        <w:pStyle w:val="ListParagraph"/>
        <w:numPr>
          <w:ilvl w:val="0"/>
          <w:numId w:val="1"/>
        </w:numPr>
        <w:tabs>
          <w:tab w:pos="1024" w:val="left" w:leader="none"/>
          <w:tab w:pos="1025" w:val="left" w:leader="none"/>
        </w:tabs>
        <w:spacing w:line="240" w:lineRule="auto" w:before="99" w:after="0"/>
        <w:ind w:left="1024" w:right="146" w:hanging="853"/>
        <w:jc w:val="both"/>
        <w:rPr>
          <w:sz w:val="22"/>
        </w:rPr>
      </w:pPr>
      <w:r>
        <w:rPr>
          <w:sz w:val="22"/>
        </w:rPr>
        <w:t>S ohledem na potenciál </w:t>
      </w:r>
      <w:r>
        <w:rPr>
          <w:b/>
          <w:sz w:val="22"/>
        </w:rPr>
        <w:t>kvalitního obytného prostředí </w:t>
      </w:r>
      <w:r>
        <w:rPr>
          <w:sz w:val="22"/>
        </w:rPr>
        <w:t>usilovat o zachování migrace do svého území nabídkou různých forem bydlení na vymezených zastavitelných plochách bydlení (B), plochách smíšených centrálních (C) a plochách smíšených aktivit</w:t>
      </w:r>
      <w:r>
        <w:rPr>
          <w:spacing w:val="-14"/>
          <w:sz w:val="22"/>
        </w:rPr>
        <w:t> </w:t>
      </w:r>
      <w:r>
        <w:rPr>
          <w:sz w:val="22"/>
        </w:rPr>
        <w:t>(A).</w:t>
      </w:r>
    </w:p>
    <w:p>
      <w:pPr>
        <w:pStyle w:val="ListParagraph"/>
        <w:numPr>
          <w:ilvl w:val="0"/>
          <w:numId w:val="1"/>
        </w:numPr>
        <w:tabs>
          <w:tab w:pos="1024" w:val="left" w:leader="none"/>
          <w:tab w:pos="1025" w:val="left" w:leader="none"/>
        </w:tabs>
        <w:spacing w:line="240" w:lineRule="auto" w:before="98" w:after="0"/>
        <w:ind w:left="1024" w:right="146" w:hanging="852"/>
        <w:jc w:val="both"/>
        <w:rPr>
          <w:sz w:val="22"/>
        </w:rPr>
      </w:pPr>
      <w:r>
        <w:rPr>
          <w:sz w:val="22"/>
        </w:rPr>
        <w:t>Pro trvalé bydlení využít všech v současné době kvalitních </w:t>
      </w:r>
      <w:r>
        <w:rPr>
          <w:b/>
          <w:sz w:val="22"/>
        </w:rPr>
        <w:t>trvale obydlených bytů</w:t>
      </w:r>
      <w:r>
        <w:rPr>
          <w:sz w:val="22"/>
        </w:rPr>
        <w:t>, byty s dosud chybějícím vybavením modernizovat a rekonstruovat, postupně snižovat počet nekvalitních bytů a odpad bytového fondu, část rekreačně využívaných bytů převést na trvalé bydlení, zlepšovat ukazatele úrovně</w:t>
      </w:r>
      <w:r>
        <w:rPr>
          <w:spacing w:val="2"/>
          <w:sz w:val="22"/>
        </w:rPr>
        <w:t> </w:t>
      </w:r>
      <w:r>
        <w:rPr>
          <w:sz w:val="22"/>
        </w:rPr>
        <w:t>bydlení.</w:t>
      </w:r>
    </w:p>
    <w:p>
      <w:pPr>
        <w:pStyle w:val="ListParagraph"/>
        <w:numPr>
          <w:ilvl w:val="0"/>
          <w:numId w:val="1"/>
        </w:numPr>
        <w:tabs>
          <w:tab w:pos="1024" w:val="left" w:leader="none"/>
          <w:tab w:pos="1025" w:val="left" w:leader="none"/>
        </w:tabs>
        <w:spacing w:line="240" w:lineRule="auto" w:before="101" w:after="0"/>
        <w:ind w:left="1024" w:right="0" w:hanging="853"/>
        <w:jc w:val="left"/>
        <w:rPr>
          <w:sz w:val="22"/>
        </w:rPr>
      </w:pPr>
      <w:r>
        <w:rPr>
          <w:sz w:val="22"/>
        </w:rPr>
        <w:t>Potřebu nové </w:t>
      </w:r>
      <w:r>
        <w:rPr>
          <w:b/>
          <w:sz w:val="22"/>
        </w:rPr>
        <w:t>bytové výstavby </w:t>
      </w:r>
      <w:r>
        <w:rPr>
          <w:sz w:val="22"/>
        </w:rPr>
        <w:t>zajišťovat:</w:t>
      </w:r>
    </w:p>
    <w:p>
      <w:pPr>
        <w:pStyle w:val="ListParagraph"/>
        <w:numPr>
          <w:ilvl w:val="0"/>
          <w:numId w:val="2"/>
        </w:numPr>
        <w:tabs>
          <w:tab w:pos="1024" w:val="left" w:leader="none"/>
          <w:tab w:pos="1025" w:val="left" w:leader="none"/>
        </w:tabs>
        <w:spacing w:line="240" w:lineRule="auto" w:before="62" w:after="0"/>
        <w:ind w:left="1024" w:right="0" w:hanging="853"/>
        <w:jc w:val="left"/>
        <w:rPr>
          <w:sz w:val="22"/>
        </w:rPr>
      </w:pPr>
      <w:r>
        <w:rPr>
          <w:sz w:val="22"/>
        </w:rPr>
        <w:t>vestavbami, nástavbami, přístavbami ke stávajícím rodinným i bytovým</w:t>
      </w:r>
      <w:r>
        <w:rPr>
          <w:spacing w:val="-36"/>
          <w:sz w:val="22"/>
        </w:rPr>
        <w:t> </w:t>
      </w:r>
      <w:r>
        <w:rPr>
          <w:sz w:val="22"/>
        </w:rPr>
        <w:t>domům,</w:t>
      </w:r>
    </w:p>
    <w:p>
      <w:pPr>
        <w:pStyle w:val="ListParagraph"/>
        <w:numPr>
          <w:ilvl w:val="0"/>
          <w:numId w:val="2"/>
        </w:numPr>
        <w:tabs>
          <w:tab w:pos="1024" w:val="left" w:leader="none"/>
          <w:tab w:pos="1025" w:val="left" w:leader="none"/>
        </w:tabs>
        <w:spacing w:line="240" w:lineRule="auto" w:before="58" w:after="0"/>
        <w:ind w:left="1024" w:right="0" w:hanging="853"/>
        <w:jc w:val="left"/>
        <w:rPr>
          <w:sz w:val="22"/>
        </w:rPr>
      </w:pPr>
      <w:r>
        <w:rPr>
          <w:sz w:val="22"/>
        </w:rPr>
        <w:t>výstavbou bytových domů s převážně malometrážními byty pro sociální</w:t>
      </w:r>
      <w:r>
        <w:rPr>
          <w:spacing w:val="-40"/>
          <w:sz w:val="22"/>
        </w:rPr>
        <w:t> </w:t>
      </w:r>
      <w:r>
        <w:rPr>
          <w:sz w:val="22"/>
        </w:rPr>
        <w:t>bydlení,</w:t>
      </w:r>
    </w:p>
    <w:p>
      <w:pPr>
        <w:pStyle w:val="ListParagraph"/>
        <w:numPr>
          <w:ilvl w:val="0"/>
          <w:numId w:val="2"/>
        </w:numPr>
        <w:tabs>
          <w:tab w:pos="1024" w:val="left" w:leader="none"/>
          <w:tab w:pos="1025" w:val="left" w:leader="none"/>
        </w:tabs>
        <w:spacing w:line="240" w:lineRule="auto" w:before="60" w:after="0"/>
        <w:ind w:left="1024" w:right="0" w:hanging="853"/>
        <w:jc w:val="left"/>
        <w:rPr>
          <w:sz w:val="22"/>
        </w:rPr>
      </w:pPr>
      <w:r>
        <w:rPr>
          <w:sz w:val="22"/>
        </w:rPr>
        <w:t>výstavbou bytových domů se standardním i nadstandardním</w:t>
      </w:r>
      <w:r>
        <w:rPr>
          <w:spacing w:val="-3"/>
          <w:sz w:val="22"/>
        </w:rPr>
        <w:t> </w:t>
      </w:r>
      <w:r>
        <w:rPr>
          <w:sz w:val="22"/>
        </w:rPr>
        <w:t>vybavením,</w:t>
      </w:r>
    </w:p>
    <w:p>
      <w:pPr>
        <w:pStyle w:val="ListParagraph"/>
        <w:numPr>
          <w:ilvl w:val="0"/>
          <w:numId w:val="2"/>
        </w:numPr>
        <w:tabs>
          <w:tab w:pos="1024" w:val="left" w:leader="none"/>
          <w:tab w:pos="1025" w:val="left" w:leader="none"/>
        </w:tabs>
        <w:spacing w:line="240" w:lineRule="auto" w:before="58" w:after="0"/>
        <w:ind w:left="1024" w:right="0" w:hanging="853"/>
        <w:jc w:val="left"/>
        <w:rPr>
          <w:sz w:val="22"/>
        </w:rPr>
      </w:pPr>
      <w:r>
        <w:rPr>
          <w:sz w:val="22"/>
        </w:rPr>
        <w:t>výstavbou rodinných</w:t>
      </w:r>
      <w:r>
        <w:rPr>
          <w:spacing w:val="-1"/>
          <w:sz w:val="22"/>
        </w:rPr>
        <w:t> </w:t>
      </w:r>
      <w:r>
        <w:rPr>
          <w:sz w:val="22"/>
        </w:rPr>
        <w:t>domů.</w:t>
      </w:r>
    </w:p>
    <w:p>
      <w:pPr>
        <w:pStyle w:val="ListParagraph"/>
        <w:numPr>
          <w:ilvl w:val="0"/>
          <w:numId w:val="1"/>
        </w:numPr>
        <w:tabs>
          <w:tab w:pos="1024" w:val="left" w:leader="none"/>
          <w:tab w:pos="1025" w:val="left" w:leader="none"/>
        </w:tabs>
        <w:spacing w:line="240" w:lineRule="auto" w:before="97" w:after="0"/>
        <w:ind w:left="1024" w:right="0" w:hanging="853"/>
        <w:jc w:val="left"/>
        <w:rPr>
          <w:sz w:val="22"/>
        </w:rPr>
      </w:pPr>
      <w:r>
        <w:rPr>
          <w:sz w:val="22"/>
        </w:rPr>
        <w:t>Největší </w:t>
      </w:r>
      <w:r>
        <w:rPr>
          <w:b/>
          <w:sz w:val="22"/>
        </w:rPr>
        <w:t>přírůstek bytů </w:t>
      </w:r>
      <w:r>
        <w:rPr>
          <w:sz w:val="22"/>
        </w:rPr>
        <w:t>umístit v městském území k.ú. Chrastava I a Dolní</w:t>
      </w:r>
      <w:r>
        <w:rPr>
          <w:spacing w:val="-24"/>
          <w:sz w:val="22"/>
        </w:rPr>
        <w:t> </w:t>
      </w:r>
      <w:r>
        <w:rPr>
          <w:sz w:val="22"/>
        </w:rPr>
        <w:t>Chrastava,</w:t>
      </w:r>
    </w:p>
    <w:p>
      <w:pPr>
        <w:pStyle w:val="ListParagraph"/>
        <w:numPr>
          <w:ilvl w:val="0"/>
          <w:numId w:val="2"/>
        </w:numPr>
        <w:tabs>
          <w:tab w:pos="1024" w:val="left" w:leader="none"/>
          <w:tab w:pos="1025" w:val="left" w:leader="none"/>
        </w:tabs>
        <w:spacing w:line="240" w:lineRule="auto" w:before="64" w:after="0"/>
        <w:ind w:left="1024" w:right="146" w:hanging="852"/>
        <w:jc w:val="left"/>
        <w:rPr>
          <w:sz w:val="22"/>
        </w:rPr>
      </w:pPr>
      <w:r>
        <w:rPr>
          <w:sz w:val="22"/>
        </w:rPr>
        <w:t>posilovat funkci trvalého bydlení ve všech venkovských sídlech na správním území města Chrastava,</w:t>
      </w:r>
    </w:p>
    <w:p>
      <w:pPr>
        <w:pStyle w:val="ListParagraph"/>
        <w:numPr>
          <w:ilvl w:val="0"/>
          <w:numId w:val="2"/>
        </w:numPr>
        <w:tabs>
          <w:tab w:pos="1024" w:val="left" w:leader="none"/>
          <w:tab w:pos="1025" w:val="left" w:leader="none"/>
        </w:tabs>
        <w:spacing w:line="240" w:lineRule="auto" w:before="57" w:after="0"/>
        <w:ind w:left="1024" w:right="146" w:hanging="853"/>
        <w:jc w:val="left"/>
        <w:rPr>
          <w:sz w:val="22"/>
        </w:rPr>
      </w:pPr>
      <w:r>
        <w:rPr>
          <w:sz w:val="22"/>
        </w:rPr>
        <w:t>rozvojové plochy pro bydlení připravovat komplexně včetně zajištění odpovídající veřejné infrastruktury.</w:t>
      </w:r>
    </w:p>
    <w:p>
      <w:pPr>
        <w:pStyle w:val="Heading3"/>
      </w:pPr>
      <w:r>
        <w:rPr/>
        <w:t>VEŘEJNÉ OBČANSKÉ VYBAVENÍ</w:t>
      </w:r>
    </w:p>
    <w:p>
      <w:pPr>
        <w:pStyle w:val="ListParagraph"/>
        <w:numPr>
          <w:ilvl w:val="0"/>
          <w:numId w:val="1"/>
        </w:numPr>
        <w:tabs>
          <w:tab w:pos="1024" w:val="left" w:leader="none"/>
          <w:tab w:pos="1025" w:val="left" w:leader="none"/>
        </w:tabs>
        <w:spacing w:line="237" w:lineRule="auto" w:before="126" w:after="0"/>
        <w:ind w:left="1024" w:right="146" w:hanging="853"/>
        <w:jc w:val="both"/>
        <w:rPr>
          <w:sz w:val="22"/>
        </w:rPr>
      </w:pPr>
      <w:r>
        <w:rPr>
          <w:sz w:val="22"/>
        </w:rPr>
        <w:t>Dimenzovat celoměstskou infrastrukturu a veškeré jevy vázané na tzv. uživatele území na denní přítomné obyvatelstvo v počtu cca </w:t>
      </w:r>
      <w:r>
        <w:rPr>
          <w:b/>
          <w:sz w:val="22"/>
        </w:rPr>
        <w:t>7 000 uživatelů</w:t>
      </w:r>
      <w:r>
        <w:rPr>
          <w:b/>
          <w:spacing w:val="-11"/>
          <w:sz w:val="22"/>
        </w:rPr>
        <w:t> </w:t>
      </w:r>
      <w:r>
        <w:rPr>
          <w:b/>
          <w:sz w:val="22"/>
        </w:rPr>
        <w:t>území</w:t>
      </w:r>
      <w:r>
        <w:rPr>
          <w:sz w:val="22"/>
        </w:rPr>
        <w:t>.</w:t>
      </w:r>
    </w:p>
    <w:p>
      <w:pPr>
        <w:pStyle w:val="ListParagraph"/>
        <w:numPr>
          <w:ilvl w:val="0"/>
          <w:numId w:val="1"/>
        </w:numPr>
        <w:tabs>
          <w:tab w:pos="1024" w:val="left" w:leader="none"/>
          <w:tab w:pos="1025" w:val="left" w:leader="none"/>
        </w:tabs>
        <w:spacing w:line="240" w:lineRule="auto" w:before="99" w:after="0"/>
        <w:ind w:left="1024" w:right="146" w:hanging="853"/>
        <w:jc w:val="both"/>
        <w:rPr>
          <w:sz w:val="22"/>
        </w:rPr>
      </w:pPr>
      <w:r>
        <w:rPr>
          <w:sz w:val="22"/>
        </w:rPr>
        <w:t>K </w:t>
      </w:r>
      <w:r>
        <w:rPr>
          <w:b/>
          <w:sz w:val="22"/>
        </w:rPr>
        <w:t>posílení </w:t>
      </w:r>
      <w:r>
        <w:rPr>
          <w:sz w:val="22"/>
        </w:rPr>
        <w:t>vzdělávání, kulturního a sportovního vyžití, základních i doplňkových služeb město využít zařízení občanského vybavení zahrnutá do stávajících ploch smíšených centrálních (C), ploch smíšených aktivit (A), ploch občanského vybavení veřejné infrastruktury (O), ploch občanského vybavení-sportu (S) i do nově navržených ploch těchto</w:t>
      </w:r>
      <w:r>
        <w:rPr>
          <w:spacing w:val="-5"/>
          <w:sz w:val="22"/>
        </w:rPr>
        <w:t> </w:t>
      </w:r>
      <w:r>
        <w:rPr>
          <w:sz w:val="22"/>
        </w:rPr>
        <w:t>kategorií.</w:t>
      </w:r>
    </w:p>
    <w:p>
      <w:pPr>
        <w:pStyle w:val="ListParagraph"/>
        <w:numPr>
          <w:ilvl w:val="0"/>
          <w:numId w:val="1"/>
        </w:numPr>
        <w:tabs>
          <w:tab w:pos="1024" w:val="left" w:leader="none"/>
          <w:tab w:pos="1025" w:val="left" w:leader="none"/>
        </w:tabs>
        <w:spacing w:line="240" w:lineRule="auto" w:before="101" w:after="0"/>
        <w:ind w:left="1024" w:right="146" w:hanging="853"/>
        <w:jc w:val="both"/>
        <w:rPr>
          <w:sz w:val="22"/>
        </w:rPr>
      </w:pPr>
      <w:r>
        <w:rPr>
          <w:sz w:val="22"/>
        </w:rPr>
        <w:t>Zlepšit stav </w:t>
      </w:r>
      <w:r>
        <w:rPr>
          <w:b/>
          <w:sz w:val="22"/>
        </w:rPr>
        <w:t>centra města</w:t>
      </w:r>
      <w:r>
        <w:rPr>
          <w:sz w:val="22"/>
        </w:rPr>
        <w:t>, zvýšit jeho atraktivnost odklonem průjezdní dopravy a vybudováním pěší zóny, zlepšovat vybavení a bezbariérovou přístupnost veřejných prostranství, podporovat vznik a rozšiřování</w:t>
      </w:r>
      <w:r>
        <w:rPr>
          <w:spacing w:val="-3"/>
          <w:sz w:val="22"/>
        </w:rPr>
        <w:t> </w:t>
      </w:r>
      <w:r>
        <w:rPr>
          <w:sz w:val="22"/>
        </w:rPr>
        <w:t>služeb.</w:t>
      </w:r>
    </w:p>
    <w:p>
      <w:pPr>
        <w:pStyle w:val="ListParagraph"/>
        <w:numPr>
          <w:ilvl w:val="0"/>
          <w:numId w:val="1"/>
        </w:numPr>
        <w:tabs>
          <w:tab w:pos="1024" w:val="left" w:leader="none"/>
          <w:tab w:pos="1025" w:val="left" w:leader="none"/>
        </w:tabs>
        <w:spacing w:line="240" w:lineRule="auto" w:before="100" w:after="0"/>
        <w:ind w:left="1024" w:right="145" w:hanging="852"/>
        <w:jc w:val="both"/>
        <w:rPr>
          <w:sz w:val="22"/>
        </w:rPr>
      </w:pPr>
      <w:r>
        <w:rPr>
          <w:sz w:val="22"/>
        </w:rPr>
        <w:t>Podporovat žádoucí změnu využití opuštěných výrobních objektů a dalších </w:t>
      </w:r>
      <w:r>
        <w:rPr>
          <w:b/>
          <w:sz w:val="22"/>
        </w:rPr>
        <w:t>brownfields </w:t>
      </w:r>
      <w:r>
        <w:rPr>
          <w:sz w:val="22"/>
        </w:rPr>
        <w:t>zejména pro občanské vybavení – přeměna lokality „Kovák“ na kapacitní obchodní vybavení.</w:t>
      </w:r>
    </w:p>
    <w:p>
      <w:pPr>
        <w:pStyle w:val="ListParagraph"/>
        <w:numPr>
          <w:ilvl w:val="0"/>
          <w:numId w:val="1"/>
        </w:numPr>
        <w:tabs>
          <w:tab w:pos="1024" w:val="left" w:leader="none"/>
          <w:tab w:pos="1025" w:val="left" w:leader="none"/>
        </w:tabs>
        <w:spacing w:line="240" w:lineRule="auto" w:before="103" w:after="0"/>
        <w:ind w:left="1024" w:right="146" w:hanging="853"/>
        <w:jc w:val="both"/>
        <w:rPr>
          <w:sz w:val="22"/>
        </w:rPr>
      </w:pPr>
      <w:r>
        <w:rPr>
          <w:sz w:val="22"/>
        </w:rPr>
        <w:t>Systematicky vytvářet podmínky pro realizaci volnočasových aktivit s návazností na nové podmínky a společenské trendy s ohledem na předpokládaný demografický vývoj s úmyslem přispět k prevenci sociálně patologických jevů,</w:t>
      </w:r>
    </w:p>
    <w:p>
      <w:pPr>
        <w:pStyle w:val="ListParagraph"/>
        <w:numPr>
          <w:ilvl w:val="0"/>
          <w:numId w:val="2"/>
        </w:numPr>
        <w:tabs>
          <w:tab w:pos="1024" w:val="left" w:leader="none"/>
          <w:tab w:pos="1025" w:val="left" w:leader="none"/>
        </w:tabs>
        <w:spacing w:line="240" w:lineRule="auto" w:before="59" w:after="0"/>
        <w:ind w:left="1024" w:right="146" w:hanging="853"/>
        <w:jc w:val="both"/>
        <w:rPr>
          <w:sz w:val="22"/>
        </w:rPr>
      </w:pPr>
      <w:r>
        <w:rPr>
          <w:sz w:val="22"/>
        </w:rPr>
        <w:t>zachovat a oživit stávající kulturní zařízení, modernizovat a dobudovat sportovní areály v centru, u koupaliště, v Horním Vítkově a v Andělské Hoře a dobudovat plochy pro volnočasové aktivity v prostoru Střeleckého</w:t>
      </w:r>
      <w:r>
        <w:rPr>
          <w:spacing w:val="-5"/>
          <w:sz w:val="22"/>
        </w:rPr>
        <w:t> </w:t>
      </w:r>
      <w:r>
        <w:rPr>
          <w:sz w:val="22"/>
        </w:rPr>
        <w:t>vrchu.</w:t>
      </w:r>
    </w:p>
    <w:p>
      <w:pPr>
        <w:spacing w:after="0" w:line="240" w:lineRule="auto"/>
        <w:jc w:val="both"/>
        <w:rPr>
          <w:sz w:val="22"/>
        </w:rPr>
        <w:sectPr>
          <w:pgSz w:w="11900" w:h="16840"/>
          <w:pgMar w:header="561" w:footer="582" w:top="760" w:bottom="780" w:left="960" w:right="980"/>
        </w:sectPr>
      </w:pPr>
    </w:p>
    <w:p>
      <w:pPr>
        <w:pStyle w:val="BodyText"/>
        <w:spacing w:before="7"/>
        <w:ind w:left="0" w:firstLine="0"/>
        <w:jc w:val="left"/>
      </w:pPr>
    </w:p>
    <w:p>
      <w:pPr>
        <w:pStyle w:val="ListParagraph"/>
        <w:numPr>
          <w:ilvl w:val="0"/>
          <w:numId w:val="1"/>
        </w:numPr>
        <w:tabs>
          <w:tab w:pos="1024" w:val="left" w:leader="none"/>
          <w:tab w:pos="1025" w:val="left" w:leader="none"/>
        </w:tabs>
        <w:spacing w:line="240" w:lineRule="auto" w:before="101" w:after="0"/>
        <w:ind w:left="1024" w:right="146" w:hanging="852"/>
        <w:jc w:val="both"/>
        <w:rPr>
          <w:sz w:val="22"/>
        </w:rPr>
      </w:pPr>
      <w:r>
        <w:rPr>
          <w:sz w:val="22"/>
        </w:rPr>
        <w:t>Pro umisťování zařízení občanského vybavení </w:t>
      </w:r>
      <w:r>
        <w:rPr>
          <w:b/>
          <w:sz w:val="22"/>
        </w:rPr>
        <w:t>komerčního </w:t>
      </w:r>
      <w:r>
        <w:rPr>
          <w:sz w:val="22"/>
        </w:rPr>
        <w:t>charakteru využívat ploch smíšených centrálních (C) a ploch smíšených aktivit (A) v souladu se zachováním pohody bydlení v těchto plochách, samostatně na plochách občanského vybavení – komerčního (OK),</w:t>
      </w:r>
    </w:p>
    <w:p>
      <w:pPr>
        <w:pStyle w:val="ListParagraph"/>
        <w:numPr>
          <w:ilvl w:val="0"/>
          <w:numId w:val="2"/>
        </w:numPr>
        <w:tabs>
          <w:tab w:pos="1024" w:val="left" w:leader="none"/>
          <w:tab w:pos="1025" w:val="left" w:leader="none"/>
        </w:tabs>
        <w:spacing w:line="240" w:lineRule="auto" w:before="102" w:after="0"/>
        <w:ind w:left="1024" w:right="145" w:hanging="853"/>
        <w:jc w:val="both"/>
        <w:rPr>
          <w:sz w:val="22"/>
        </w:rPr>
      </w:pPr>
      <w:r>
        <w:rPr>
          <w:sz w:val="22"/>
        </w:rPr>
        <w:t>záměry výstavby a modernizace zařízení občanského vybavení posuzovat s ohledem na počet potenciálních uživatelů území vyplývajících z polohy města a jeho postavení ve struktuře osídlení, ve venkovském území umisťováním zařízení OV posilovat lokální centra.</w:t>
      </w:r>
    </w:p>
    <w:p>
      <w:pPr>
        <w:pStyle w:val="Heading3"/>
        <w:spacing w:before="115"/>
      </w:pPr>
      <w:r>
        <w:rPr/>
        <w:t>KULTURNÍ HODNOTY</w:t>
      </w:r>
    </w:p>
    <w:p>
      <w:pPr>
        <w:pStyle w:val="ListParagraph"/>
        <w:numPr>
          <w:ilvl w:val="0"/>
          <w:numId w:val="1"/>
        </w:numPr>
        <w:tabs>
          <w:tab w:pos="1024" w:val="left" w:leader="none"/>
          <w:tab w:pos="1025" w:val="left" w:leader="none"/>
        </w:tabs>
        <w:spacing w:line="240" w:lineRule="auto" w:before="81" w:after="0"/>
        <w:ind w:left="1024" w:right="146" w:hanging="852"/>
        <w:jc w:val="both"/>
        <w:rPr>
          <w:sz w:val="22"/>
        </w:rPr>
      </w:pPr>
      <w:r>
        <w:rPr>
          <w:sz w:val="22"/>
        </w:rPr>
        <w:t>Na území města Chrastava respektovat objekty zapsané do </w:t>
      </w:r>
      <w:r>
        <w:rPr>
          <w:b/>
          <w:sz w:val="22"/>
        </w:rPr>
        <w:t>Ústředního seznamu kulturních památek ČR </w:t>
      </w:r>
      <w:r>
        <w:rPr>
          <w:sz w:val="22"/>
        </w:rPr>
        <w:t>a jejich prostředí zakreslené v Koordinačním výkresu</w:t>
      </w:r>
      <w:r>
        <w:rPr>
          <w:spacing w:val="-23"/>
          <w:sz w:val="22"/>
        </w:rPr>
        <w:t> </w:t>
      </w:r>
      <w:r>
        <w:rPr>
          <w:sz w:val="22"/>
        </w:rPr>
        <w:t>(5).</w:t>
      </w:r>
    </w:p>
    <w:p>
      <w:pPr>
        <w:pStyle w:val="ListParagraph"/>
        <w:numPr>
          <w:ilvl w:val="0"/>
          <w:numId w:val="1"/>
        </w:numPr>
        <w:tabs>
          <w:tab w:pos="1024" w:val="left" w:leader="none"/>
          <w:tab w:pos="1025" w:val="left" w:leader="none"/>
        </w:tabs>
        <w:spacing w:line="242" w:lineRule="auto" w:before="79" w:after="0"/>
        <w:ind w:left="1024" w:right="146" w:hanging="852"/>
        <w:jc w:val="both"/>
        <w:rPr>
          <w:sz w:val="22"/>
        </w:rPr>
      </w:pPr>
      <w:r>
        <w:rPr>
          <w:sz w:val="22"/>
        </w:rPr>
        <w:t>Respektovat historicky vzniklou </w:t>
      </w:r>
      <w:r>
        <w:rPr>
          <w:b/>
          <w:sz w:val="22"/>
        </w:rPr>
        <w:t>stavební strukturu </w:t>
      </w:r>
      <w:r>
        <w:rPr>
          <w:sz w:val="22"/>
        </w:rPr>
        <w:t>zastavěného území města na třech základních urbanizačních osách podél vodních toků a historických cest s významným potenciálem průmyslového, technického a stavebního dědictví v symbióze ochrany starého a rozvoje nového, upřednostňovat intenzifikaci využití zastavěného</w:t>
      </w:r>
      <w:r>
        <w:rPr>
          <w:spacing w:val="-20"/>
          <w:sz w:val="22"/>
        </w:rPr>
        <w:t> </w:t>
      </w:r>
      <w:r>
        <w:rPr>
          <w:sz w:val="22"/>
        </w:rPr>
        <w:t>území.</w:t>
      </w:r>
    </w:p>
    <w:p>
      <w:pPr>
        <w:pStyle w:val="ListParagraph"/>
        <w:numPr>
          <w:ilvl w:val="0"/>
          <w:numId w:val="1"/>
        </w:numPr>
        <w:tabs>
          <w:tab w:pos="1024" w:val="left" w:leader="none"/>
          <w:tab w:pos="1025" w:val="left" w:leader="none"/>
        </w:tabs>
        <w:spacing w:line="240" w:lineRule="auto" w:before="73" w:after="0"/>
        <w:ind w:left="1024" w:right="144" w:hanging="852"/>
        <w:jc w:val="both"/>
        <w:rPr>
          <w:sz w:val="22"/>
        </w:rPr>
      </w:pPr>
      <w:r>
        <w:rPr>
          <w:sz w:val="22"/>
        </w:rPr>
        <w:t>Směřovat úpravy funkčního a prostorového uspořádání mimo jiné k obecnému zlepšení </w:t>
      </w:r>
      <w:r>
        <w:rPr>
          <w:b/>
          <w:sz w:val="22"/>
        </w:rPr>
        <w:t>kvality prostředí </w:t>
      </w:r>
      <w:r>
        <w:rPr>
          <w:sz w:val="22"/>
        </w:rPr>
        <w:t>v okolí památkově hodnotných objektů, uvnitř urbanisticky hodnotných souborů a archeologických lokalit, v okolí sídelních architektonických dominant tak, aby jejich dominanci nenarušila novodobá</w:t>
      </w:r>
      <w:r>
        <w:rPr>
          <w:spacing w:val="-3"/>
          <w:sz w:val="22"/>
        </w:rPr>
        <w:t> </w:t>
      </w:r>
      <w:r>
        <w:rPr>
          <w:sz w:val="22"/>
        </w:rPr>
        <w:t>zeleň.</w:t>
      </w:r>
    </w:p>
    <w:p>
      <w:pPr>
        <w:pStyle w:val="ListParagraph"/>
        <w:numPr>
          <w:ilvl w:val="0"/>
          <w:numId w:val="1"/>
        </w:numPr>
        <w:tabs>
          <w:tab w:pos="1024" w:val="left" w:leader="none"/>
          <w:tab w:pos="1025" w:val="left" w:leader="none"/>
        </w:tabs>
        <w:spacing w:line="240" w:lineRule="auto" w:before="80" w:after="0"/>
        <w:ind w:left="1024" w:right="145" w:hanging="852"/>
        <w:jc w:val="both"/>
        <w:rPr>
          <w:sz w:val="22"/>
        </w:rPr>
      </w:pPr>
      <w:r>
        <w:rPr>
          <w:sz w:val="22"/>
        </w:rPr>
        <w:t>Ve vymezeném prostoru východní části městského centra věnovat zvýšenou pozornost ochraně hmotové a prostorové struktury i architektonického výrazu objektů na úrovni </w:t>
      </w:r>
      <w:r>
        <w:rPr>
          <w:b/>
          <w:sz w:val="22"/>
        </w:rPr>
        <w:t>území se zvýšenou ochranou architektonických a urbanistických</w:t>
      </w:r>
      <w:r>
        <w:rPr>
          <w:b/>
          <w:spacing w:val="-11"/>
          <w:sz w:val="22"/>
        </w:rPr>
        <w:t> </w:t>
      </w:r>
      <w:r>
        <w:rPr>
          <w:b/>
          <w:sz w:val="22"/>
        </w:rPr>
        <w:t>hodnot</w:t>
      </w:r>
      <w:r>
        <w:rPr>
          <w:sz w:val="22"/>
        </w:rPr>
        <w:t>.</w:t>
      </w:r>
    </w:p>
    <w:p>
      <w:pPr>
        <w:pStyle w:val="ListParagraph"/>
        <w:numPr>
          <w:ilvl w:val="0"/>
          <w:numId w:val="1"/>
        </w:numPr>
        <w:tabs>
          <w:tab w:pos="1024" w:val="left" w:leader="none"/>
          <w:tab w:pos="1025" w:val="left" w:leader="none"/>
        </w:tabs>
        <w:spacing w:line="242" w:lineRule="auto" w:before="76" w:after="0"/>
        <w:ind w:left="1024" w:right="146" w:hanging="852"/>
        <w:jc w:val="both"/>
        <w:rPr>
          <w:sz w:val="22"/>
        </w:rPr>
      </w:pPr>
      <w:r>
        <w:rPr>
          <w:sz w:val="22"/>
        </w:rPr>
        <w:t>Při umisťování a rekonstrukci staveb zohlednit atributy oblasti Krajiny </w:t>
      </w:r>
      <w:r>
        <w:rPr>
          <w:b/>
          <w:sz w:val="22"/>
        </w:rPr>
        <w:t>podstávkových domů</w:t>
      </w:r>
      <w:r>
        <w:rPr>
          <w:sz w:val="22"/>
        </w:rPr>
        <w:t>, podoblasti Lužické hory, která je charakteristická domem hornolužického typu s hrázděným patrem a roubeným přízemím s charakteristickou</w:t>
      </w:r>
      <w:r>
        <w:rPr>
          <w:spacing w:val="-3"/>
          <w:sz w:val="22"/>
        </w:rPr>
        <w:t> </w:t>
      </w:r>
      <w:r>
        <w:rPr>
          <w:sz w:val="22"/>
        </w:rPr>
        <w:t>podstávkou,</w:t>
      </w:r>
    </w:p>
    <w:p>
      <w:pPr>
        <w:pStyle w:val="ListParagraph"/>
        <w:numPr>
          <w:ilvl w:val="0"/>
          <w:numId w:val="2"/>
        </w:numPr>
        <w:tabs>
          <w:tab w:pos="1024" w:val="left" w:leader="none"/>
          <w:tab w:pos="1025" w:val="left" w:leader="none"/>
        </w:tabs>
        <w:spacing w:line="240" w:lineRule="auto" w:before="97" w:after="0"/>
        <w:ind w:left="1024" w:right="146" w:hanging="852"/>
        <w:jc w:val="left"/>
        <w:rPr>
          <w:sz w:val="22"/>
        </w:rPr>
      </w:pPr>
      <w:r>
        <w:rPr>
          <w:sz w:val="22"/>
        </w:rPr>
        <w:t>u historických objektů obecně požadovat zachování původní hmoty, architektonického výrazu a použití původních</w:t>
      </w:r>
      <w:r>
        <w:rPr>
          <w:spacing w:val="-4"/>
          <w:sz w:val="22"/>
        </w:rPr>
        <w:t> </w:t>
      </w:r>
      <w:r>
        <w:rPr>
          <w:sz w:val="22"/>
        </w:rPr>
        <w:t>materiálů.</w:t>
      </w:r>
    </w:p>
    <w:p>
      <w:pPr>
        <w:pStyle w:val="ListParagraph"/>
        <w:numPr>
          <w:ilvl w:val="0"/>
          <w:numId w:val="1"/>
        </w:numPr>
        <w:tabs>
          <w:tab w:pos="1024" w:val="left" w:leader="none"/>
          <w:tab w:pos="1025" w:val="left" w:leader="none"/>
        </w:tabs>
        <w:spacing w:line="240" w:lineRule="auto" w:before="79" w:after="0"/>
        <w:ind w:left="1024" w:right="146" w:hanging="853"/>
        <w:jc w:val="left"/>
        <w:rPr>
          <w:sz w:val="22"/>
        </w:rPr>
      </w:pPr>
      <w:r>
        <w:rPr>
          <w:sz w:val="22"/>
        </w:rPr>
        <w:t>Respektovat sídelní architektonické dominanty kostel sv. Vavřince, kostely v Andělské Hoře a v Horním</w:t>
      </w:r>
      <w:r>
        <w:rPr>
          <w:spacing w:val="-1"/>
          <w:sz w:val="22"/>
        </w:rPr>
        <w:t> </w:t>
      </w:r>
      <w:r>
        <w:rPr>
          <w:sz w:val="22"/>
        </w:rPr>
        <w:t>Vítkově.</w:t>
      </w:r>
    </w:p>
    <w:p>
      <w:pPr>
        <w:pStyle w:val="ListParagraph"/>
        <w:numPr>
          <w:ilvl w:val="0"/>
          <w:numId w:val="1"/>
        </w:numPr>
        <w:tabs>
          <w:tab w:pos="1024" w:val="left" w:leader="none"/>
          <w:tab w:pos="1025" w:val="left" w:leader="none"/>
        </w:tabs>
        <w:spacing w:line="240" w:lineRule="auto" w:before="80" w:after="0"/>
        <w:ind w:left="1024" w:right="145" w:hanging="852"/>
        <w:jc w:val="left"/>
        <w:rPr>
          <w:sz w:val="22"/>
        </w:rPr>
      </w:pPr>
      <w:r>
        <w:rPr>
          <w:sz w:val="22"/>
        </w:rPr>
        <w:t>Respektovat veškeré hodnotné stavby, které nejsou kulturními památkami, ale mají nespornou kulturně historickou hodnotu a jsou dokladem stavebního vývoje</w:t>
      </w:r>
      <w:r>
        <w:rPr>
          <w:spacing w:val="-21"/>
          <w:sz w:val="22"/>
        </w:rPr>
        <w:t> </w:t>
      </w:r>
      <w:r>
        <w:rPr>
          <w:sz w:val="22"/>
        </w:rPr>
        <w:t>města:</w:t>
      </w:r>
    </w:p>
    <w:p>
      <w:pPr>
        <w:pStyle w:val="ListParagraph"/>
        <w:numPr>
          <w:ilvl w:val="0"/>
          <w:numId w:val="2"/>
        </w:numPr>
        <w:tabs>
          <w:tab w:pos="1024" w:val="left" w:leader="none"/>
          <w:tab w:pos="1025" w:val="left" w:leader="none"/>
        </w:tabs>
        <w:spacing w:line="240" w:lineRule="auto" w:before="101" w:after="0"/>
        <w:ind w:left="1024" w:right="0" w:hanging="853"/>
        <w:jc w:val="left"/>
        <w:rPr>
          <w:sz w:val="22"/>
        </w:rPr>
      </w:pPr>
      <w:r>
        <w:rPr>
          <w:sz w:val="22"/>
        </w:rPr>
        <w:t>škola v Soudní</w:t>
      </w:r>
      <w:r>
        <w:rPr>
          <w:spacing w:val="-8"/>
          <w:sz w:val="22"/>
        </w:rPr>
        <w:t> </w:t>
      </w:r>
      <w:r>
        <w:rPr>
          <w:sz w:val="22"/>
        </w:rPr>
        <w:t>ulici,</w:t>
      </w:r>
    </w:p>
    <w:p>
      <w:pPr>
        <w:pStyle w:val="ListParagraph"/>
        <w:numPr>
          <w:ilvl w:val="0"/>
          <w:numId w:val="2"/>
        </w:numPr>
        <w:tabs>
          <w:tab w:pos="1024" w:val="left" w:leader="none"/>
          <w:tab w:pos="1025" w:val="left" w:leader="none"/>
        </w:tabs>
        <w:spacing w:line="240" w:lineRule="auto" w:before="77" w:after="0"/>
        <w:ind w:left="1024" w:right="0" w:hanging="853"/>
        <w:jc w:val="left"/>
        <w:rPr>
          <w:sz w:val="22"/>
        </w:rPr>
      </w:pPr>
      <w:r>
        <w:rPr>
          <w:sz w:val="22"/>
        </w:rPr>
        <w:t>MŠ v Revoluční</w:t>
      </w:r>
      <w:r>
        <w:rPr>
          <w:spacing w:val="-6"/>
          <w:sz w:val="22"/>
        </w:rPr>
        <w:t> </w:t>
      </w:r>
      <w:r>
        <w:rPr>
          <w:sz w:val="22"/>
        </w:rPr>
        <w:t>ulici,</w:t>
      </w:r>
    </w:p>
    <w:p>
      <w:pPr>
        <w:pStyle w:val="ListParagraph"/>
        <w:numPr>
          <w:ilvl w:val="0"/>
          <w:numId w:val="2"/>
        </w:numPr>
        <w:tabs>
          <w:tab w:pos="1024" w:val="left" w:leader="none"/>
          <w:tab w:pos="1025" w:val="left" w:leader="none"/>
        </w:tabs>
        <w:spacing w:line="240" w:lineRule="auto" w:before="80" w:after="0"/>
        <w:ind w:left="1024" w:right="0" w:hanging="853"/>
        <w:jc w:val="left"/>
        <w:rPr>
          <w:sz w:val="22"/>
        </w:rPr>
      </w:pPr>
      <w:r>
        <w:rPr>
          <w:sz w:val="22"/>
        </w:rPr>
        <w:t>objekt lidové architektury č.p.12 na rohu ulic Liberecké a</w:t>
      </w:r>
      <w:r>
        <w:rPr>
          <w:spacing w:val="-13"/>
          <w:sz w:val="22"/>
        </w:rPr>
        <w:t> </w:t>
      </w:r>
      <w:r>
        <w:rPr>
          <w:sz w:val="22"/>
        </w:rPr>
        <w:t>Revoluční,</w:t>
      </w:r>
    </w:p>
    <w:p>
      <w:pPr>
        <w:pStyle w:val="ListParagraph"/>
        <w:numPr>
          <w:ilvl w:val="0"/>
          <w:numId w:val="2"/>
        </w:numPr>
        <w:tabs>
          <w:tab w:pos="1024" w:val="left" w:leader="none"/>
          <w:tab w:pos="1025" w:val="left" w:leader="none"/>
        </w:tabs>
        <w:spacing w:line="240" w:lineRule="auto" w:before="77" w:after="0"/>
        <w:ind w:left="1024" w:right="0" w:hanging="853"/>
        <w:jc w:val="left"/>
        <w:rPr>
          <w:sz w:val="22"/>
        </w:rPr>
      </w:pPr>
      <w:r>
        <w:rPr>
          <w:sz w:val="22"/>
        </w:rPr>
        <w:t>objekt lidové architektury č.p.482 v Turpišově</w:t>
      </w:r>
      <w:r>
        <w:rPr>
          <w:spacing w:val="-8"/>
          <w:sz w:val="22"/>
        </w:rPr>
        <w:t> </w:t>
      </w:r>
      <w:r>
        <w:rPr>
          <w:sz w:val="22"/>
        </w:rPr>
        <w:t>ulici,</w:t>
      </w:r>
    </w:p>
    <w:p>
      <w:pPr>
        <w:pStyle w:val="ListParagraph"/>
        <w:numPr>
          <w:ilvl w:val="0"/>
          <w:numId w:val="2"/>
        </w:numPr>
        <w:tabs>
          <w:tab w:pos="1024" w:val="left" w:leader="none"/>
          <w:tab w:pos="1025" w:val="left" w:leader="none"/>
        </w:tabs>
        <w:spacing w:line="240" w:lineRule="auto" w:before="80" w:after="0"/>
        <w:ind w:left="1024" w:right="0" w:hanging="853"/>
        <w:jc w:val="left"/>
        <w:rPr>
          <w:sz w:val="22"/>
        </w:rPr>
      </w:pPr>
      <w:r>
        <w:rPr>
          <w:sz w:val="22"/>
        </w:rPr>
        <w:t>objekt lidové architektury č.p.218 ve Frýdlantské</w:t>
      </w:r>
      <w:r>
        <w:rPr>
          <w:spacing w:val="-9"/>
          <w:sz w:val="22"/>
        </w:rPr>
        <w:t> </w:t>
      </w:r>
      <w:r>
        <w:rPr>
          <w:sz w:val="22"/>
        </w:rPr>
        <w:t>ulici,</w:t>
      </w:r>
    </w:p>
    <w:p>
      <w:pPr>
        <w:pStyle w:val="ListParagraph"/>
        <w:numPr>
          <w:ilvl w:val="0"/>
          <w:numId w:val="2"/>
        </w:numPr>
        <w:tabs>
          <w:tab w:pos="1024" w:val="left" w:leader="none"/>
          <w:tab w:pos="1025" w:val="left" w:leader="none"/>
        </w:tabs>
        <w:spacing w:line="240" w:lineRule="auto" w:before="79" w:after="0"/>
        <w:ind w:left="1024" w:right="0" w:hanging="853"/>
        <w:jc w:val="left"/>
        <w:rPr>
          <w:sz w:val="22"/>
        </w:rPr>
      </w:pPr>
      <w:r>
        <w:rPr>
          <w:sz w:val="22"/>
        </w:rPr>
        <w:t>objekt lidové architektury pod</w:t>
      </w:r>
      <w:r>
        <w:rPr>
          <w:spacing w:val="-6"/>
          <w:sz w:val="22"/>
        </w:rPr>
        <w:t> </w:t>
      </w:r>
      <w:r>
        <w:rPr>
          <w:sz w:val="22"/>
        </w:rPr>
        <w:t>farou,</w:t>
      </w:r>
    </w:p>
    <w:p>
      <w:pPr>
        <w:pStyle w:val="ListParagraph"/>
        <w:numPr>
          <w:ilvl w:val="0"/>
          <w:numId w:val="2"/>
        </w:numPr>
        <w:tabs>
          <w:tab w:pos="1024" w:val="left" w:leader="none"/>
          <w:tab w:pos="1025" w:val="left" w:leader="none"/>
        </w:tabs>
        <w:spacing w:line="240" w:lineRule="auto" w:before="80" w:after="0"/>
        <w:ind w:left="1024" w:right="0" w:hanging="853"/>
        <w:jc w:val="left"/>
        <w:rPr>
          <w:sz w:val="22"/>
        </w:rPr>
      </w:pPr>
      <w:r>
        <w:rPr>
          <w:sz w:val="22"/>
        </w:rPr>
        <w:t>vila č.p.411 na rohu ulic Revoluční a</w:t>
      </w:r>
      <w:r>
        <w:rPr>
          <w:spacing w:val="-10"/>
          <w:sz w:val="22"/>
        </w:rPr>
        <w:t> </w:t>
      </w:r>
      <w:r>
        <w:rPr>
          <w:sz w:val="22"/>
        </w:rPr>
        <w:t>Bezručovy,</w:t>
      </w:r>
    </w:p>
    <w:p>
      <w:pPr>
        <w:pStyle w:val="ListParagraph"/>
        <w:numPr>
          <w:ilvl w:val="0"/>
          <w:numId w:val="2"/>
        </w:numPr>
        <w:tabs>
          <w:tab w:pos="1024" w:val="left" w:leader="none"/>
          <w:tab w:pos="1025" w:val="left" w:leader="none"/>
        </w:tabs>
        <w:spacing w:line="240" w:lineRule="auto" w:before="77" w:after="0"/>
        <w:ind w:left="1024" w:right="0" w:hanging="853"/>
        <w:jc w:val="left"/>
        <w:rPr>
          <w:sz w:val="22"/>
        </w:rPr>
      </w:pPr>
      <w:r>
        <w:rPr>
          <w:sz w:val="22"/>
        </w:rPr>
        <w:t>vila č.p.408 v Turpišově</w:t>
      </w:r>
      <w:r>
        <w:rPr>
          <w:spacing w:val="-7"/>
          <w:sz w:val="22"/>
        </w:rPr>
        <w:t> </w:t>
      </w:r>
      <w:r>
        <w:rPr>
          <w:sz w:val="22"/>
        </w:rPr>
        <w:t>ulici,</w:t>
      </w:r>
    </w:p>
    <w:p>
      <w:pPr>
        <w:pStyle w:val="ListParagraph"/>
        <w:numPr>
          <w:ilvl w:val="0"/>
          <w:numId w:val="2"/>
        </w:numPr>
        <w:tabs>
          <w:tab w:pos="1024" w:val="left" w:leader="none"/>
          <w:tab w:pos="1025" w:val="left" w:leader="none"/>
        </w:tabs>
        <w:spacing w:line="240" w:lineRule="auto" w:before="80" w:after="0"/>
        <w:ind w:left="1024" w:right="0" w:hanging="853"/>
        <w:jc w:val="left"/>
        <w:rPr>
          <w:sz w:val="22"/>
        </w:rPr>
      </w:pPr>
      <w:r>
        <w:rPr>
          <w:sz w:val="22"/>
        </w:rPr>
        <w:t>průmyslový objekt ČEZ v Nádražní</w:t>
      </w:r>
      <w:r>
        <w:rPr>
          <w:spacing w:val="-9"/>
          <w:sz w:val="22"/>
        </w:rPr>
        <w:t> </w:t>
      </w:r>
      <w:r>
        <w:rPr>
          <w:sz w:val="22"/>
        </w:rPr>
        <w:t>ulici,</w:t>
      </w:r>
    </w:p>
    <w:p>
      <w:pPr>
        <w:pStyle w:val="ListParagraph"/>
        <w:numPr>
          <w:ilvl w:val="0"/>
          <w:numId w:val="2"/>
        </w:numPr>
        <w:tabs>
          <w:tab w:pos="1024" w:val="left" w:leader="none"/>
          <w:tab w:pos="1025" w:val="left" w:leader="none"/>
        </w:tabs>
        <w:spacing w:line="240" w:lineRule="auto" w:before="80" w:after="0"/>
        <w:ind w:left="1024" w:right="0" w:hanging="853"/>
        <w:jc w:val="left"/>
        <w:rPr>
          <w:sz w:val="22"/>
        </w:rPr>
      </w:pPr>
      <w:r>
        <w:rPr>
          <w:sz w:val="22"/>
        </w:rPr>
        <w:t>průmyslový objekt-areál bývalé Textilany v Andělohorské</w:t>
      </w:r>
      <w:r>
        <w:rPr>
          <w:spacing w:val="-9"/>
          <w:sz w:val="22"/>
        </w:rPr>
        <w:t> </w:t>
      </w:r>
      <w:r>
        <w:rPr>
          <w:sz w:val="22"/>
        </w:rPr>
        <w:t>ulici,</w:t>
      </w:r>
    </w:p>
    <w:p>
      <w:pPr>
        <w:pStyle w:val="ListParagraph"/>
        <w:numPr>
          <w:ilvl w:val="0"/>
          <w:numId w:val="2"/>
        </w:numPr>
        <w:tabs>
          <w:tab w:pos="1024" w:val="left" w:leader="none"/>
          <w:tab w:pos="1025" w:val="left" w:leader="none"/>
        </w:tabs>
        <w:spacing w:line="240" w:lineRule="auto" w:before="79" w:after="0"/>
        <w:ind w:left="1024" w:right="0" w:hanging="853"/>
        <w:jc w:val="left"/>
        <w:rPr>
          <w:sz w:val="22"/>
        </w:rPr>
      </w:pPr>
      <w:r>
        <w:rPr>
          <w:sz w:val="22"/>
        </w:rPr>
        <w:t>průmyslový objekt elektrárny Andělská</w:t>
      </w:r>
      <w:r>
        <w:rPr>
          <w:spacing w:val="-8"/>
          <w:sz w:val="22"/>
        </w:rPr>
        <w:t> </w:t>
      </w:r>
      <w:r>
        <w:rPr>
          <w:sz w:val="22"/>
        </w:rPr>
        <w:t>Hora,</w:t>
      </w:r>
    </w:p>
    <w:p>
      <w:pPr>
        <w:pStyle w:val="ListParagraph"/>
        <w:numPr>
          <w:ilvl w:val="0"/>
          <w:numId w:val="2"/>
        </w:numPr>
        <w:tabs>
          <w:tab w:pos="1024" w:val="left" w:leader="none"/>
          <w:tab w:pos="1025" w:val="left" w:leader="none"/>
        </w:tabs>
        <w:spacing w:line="240" w:lineRule="auto" w:before="78" w:after="0"/>
        <w:ind w:left="1024" w:right="0" w:hanging="853"/>
        <w:jc w:val="left"/>
        <w:rPr>
          <w:sz w:val="22"/>
        </w:rPr>
      </w:pPr>
      <w:r>
        <w:rPr>
          <w:sz w:val="22"/>
        </w:rPr>
        <w:t>areál bývalého velkostatku (hasičské muzeum a hlavní</w:t>
      </w:r>
      <w:r>
        <w:rPr>
          <w:spacing w:val="-9"/>
          <w:sz w:val="22"/>
        </w:rPr>
        <w:t> </w:t>
      </w:r>
      <w:r>
        <w:rPr>
          <w:sz w:val="22"/>
        </w:rPr>
        <w:t>objekt),</w:t>
      </w:r>
    </w:p>
    <w:p>
      <w:pPr>
        <w:pStyle w:val="ListParagraph"/>
        <w:numPr>
          <w:ilvl w:val="0"/>
          <w:numId w:val="2"/>
        </w:numPr>
        <w:tabs>
          <w:tab w:pos="1024" w:val="left" w:leader="none"/>
          <w:tab w:pos="1025" w:val="left" w:leader="none"/>
        </w:tabs>
        <w:spacing w:line="240" w:lineRule="auto" w:before="79" w:after="0"/>
        <w:ind w:left="1024" w:right="0" w:hanging="853"/>
        <w:jc w:val="left"/>
        <w:rPr>
          <w:sz w:val="22"/>
        </w:rPr>
      </w:pPr>
      <w:r>
        <w:rPr>
          <w:sz w:val="22"/>
        </w:rPr>
        <w:t>areál dělnických bytových domů a dvojdomků pod</w:t>
      </w:r>
      <w:r>
        <w:rPr>
          <w:spacing w:val="-7"/>
          <w:sz w:val="22"/>
        </w:rPr>
        <w:t> </w:t>
      </w:r>
      <w:r>
        <w:rPr>
          <w:sz w:val="22"/>
        </w:rPr>
        <w:t>sv.Janem,</w:t>
      </w:r>
    </w:p>
    <w:p>
      <w:pPr>
        <w:pStyle w:val="ListParagraph"/>
        <w:numPr>
          <w:ilvl w:val="0"/>
          <w:numId w:val="2"/>
        </w:numPr>
        <w:tabs>
          <w:tab w:pos="1024" w:val="left" w:leader="none"/>
          <w:tab w:pos="1025" w:val="left" w:leader="none"/>
        </w:tabs>
        <w:spacing w:line="240" w:lineRule="auto" w:before="80" w:after="0"/>
        <w:ind w:left="1024" w:right="0" w:hanging="853"/>
        <w:jc w:val="left"/>
        <w:rPr>
          <w:sz w:val="22"/>
        </w:rPr>
      </w:pPr>
      <w:r>
        <w:rPr>
          <w:sz w:val="22"/>
        </w:rPr>
        <w:t>bytové domy č.p.372 a 373 na rohu ulic Nádražní a</w:t>
      </w:r>
      <w:r>
        <w:rPr>
          <w:spacing w:val="-11"/>
          <w:sz w:val="22"/>
        </w:rPr>
        <w:t> </w:t>
      </w:r>
      <w:r>
        <w:rPr>
          <w:sz w:val="22"/>
        </w:rPr>
        <w:t>Andělohorské,</w:t>
      </w:r>
    </w:p>
    <w:p>
      <w:pPr>
        <w:pStyle w:val="ListParagraph"/>
        <w:numPr>
          <w:ilvl w:val="0"/>
          <w:numId w:val="2"/>
        </w:numPr>
        <w:tabs>
          <w:tab w:pos="1024" w:val="left" w:leader="none"/>
          <w:tab w:pos="1025" w:val="left" w:leader="none"/>
        </w:tabs>
        <w:spacing w:line="240" w:lineRule="auto" w:before="80" w:after="0"/>
        <w:ind w:left="1024" w:right="0" w:hanging="853"/>
        <w:jc w:val="left"/>
        <w:rPr>
          <w:sz w:val="22"/>
        </w:rPr>
      </w:pPr>
      <w:r>
        <w:rPr>
          <w:sz w:val="22"/>
        </w:rPr>
        <w:t>bytové domy č.p.120 a126 v ulicích Družstevní a</w:t>
      </w:r>
      <w:r>
        <w:rPr>
          <w:spacing w:val="-9"/>
          <w:sz w:val="22"/>
        </w:rPr>
        <w:t> </w:t>
      </w:r>
      <w:r>
        <w:rPr>
          <w:sz w:val="22"/>
        </w:rPr>
        <w:t>Školní,</w:t>
      </w:r>
    </w:p>
    <w:p>
      <w:pPr>
        <w:pStyle w:val="ListParagraph"/>
        <w:numPr>
          <w:ilvl w:val="0"/>
          <w:numId w:val="2"/>
        </w:numPr>
        <w:tabs>
          <w:tab w:pos="1024" w:val="left" w:leader="none"/>
          <w:tab w:pos="1025" w:val="left" w:leader="none"/>
        </w:tabs>
        <w:spacing w:line="240" w:lineRule="auto" w:before="77" w:after="0"/>
        <w:ind w:left="1024" w:right="0" w:hanging="853"/>
        <w:jc w:val="left"/>
        <w:rPr>
          <w:sz w:val="22"/>
        </w:rPr>
      </w:pPr>
      <w:r>
        <w:rPr>
          <w:sz w:val="22"/>
        </w:rPr>
        <w:t>areál objektů lidové a maloměstské architektury v Alšově</w:t>
      </w:r>
      <w:r>
        <w:rPr>
          <w:spacing w:val="-10"/>
          <w:sz w:val="22"/>
        </w:rPr>
        <w:t> </w:t>
      </w:r>
      <w:r>
        <w:rPr>
          <w:sz w:val="22"/>
        </w:rPr>
        <w:t>ulici,</w:t>
      </w:r>
    </w:p>
    <w:p>
      <w:pPr>
        <w:pStyle w:val="ListParagraph"/>
        <w:numPr>
          <w:ilvl w:val="0"/>
          <w:numId w:val="2"/>
        </w:numPr>
        <w:tabs>
          <w:tab w:pos="1024" w:val="left" w:leader="none"/>
          <w:tab w:pos="1025" w:val="left" w:leader="none"/>
        </w:tabs>
        <w:spacing w:line="240" w:lineRule="auto" w:before="79" w:after="0"/>
        <w:ind w:left="1024" w:right="0" w:hanging="853"/>
        <w:jc w:val="left"/>
        <w:rPr>
          <w:sz w:val="22"/>
        </w:rPr>
      </w:pPr>
      <w:r>
        <w:rPr>
          <w:sz w:val="22"/>
        </w:rPr>
        <w:t>areál lidové a maloměstské architektury v okolí Führichova</w:t>
      </w:r>
      <w:r>
        <w:rPr>
          <w:spacing w:val="-13"/>
          <w:sz w:val="22"/>
        </w:rPr>
        <w:t> </w:t>
      </w:r>
      <w:r>
        <w:rPr>
          <w:sz w:val="22"/>
        </w:rPr>
        <w:t>domu.</w:t>
      </w:r>
    </w:p>
    <w:p>
      <w:pPr>
        <w:spacing w:after="0" w:line="240" w:lineRule="auto"/>
        <w:jc w:val="left"/>
        <w:rPr>
          <w:sz w:val="22"/>
        </w:rPr>
        <w:sectPr>
          <w:pgSz w:w="11900" w:h="16840"/>
          <w:pgMar w:header="561" w:footer="582" w:top="760" w:bottom="780" w:left="960" w:right="980"/>
        </w:sectPr>
      </w:pPr>
    </w:p>
    <w:p>
      <w:pPr>
        <w:pStyle w:val="BodyText"/>
        <w:spacing w:before="4"/>
        <w:ind w:left="0" w:firstLine="0"/>
        <w:jc w:val="left"/>
      </w:pPr>
    </w:p>
    <w:p>
      <w:pPr>
        <w:pStyle w:val="ListParagraph"/>
        <w:numPr>
          <w:ilvl w:val="0"/>
          <w:numId w:val="1"/>
        </w:numPr>
        <w:tabs>
          <w:tab w:pos="1024" w:val="left" w:leader="none"/>
          <w:tab w:pos="1025" w:val="left" w:leader="none"/>
        </w:tabs>
        <w:spacing w:line="242" w:lineRule="auto" w:before="102" w:after="0"/>
        <w:ind w:left="1024" w:right="145" w:hanging="852"/>
        <w:jc w:val="both"/>
        <w:rPr>
          <w:sz w:val="22"/>
        </w:rPr>
      </w:pPr>
      <w:r>
        <w:rPr>
          <w:sz w:val="22"/>
        </w:rPr>
        <w:t>Respektovat území s vyšší pravděpodobností výskytu </w:t>
      </w:r>
      <w:r>
        <w:rPr>
          <w:b/>
          <w:sz w:val="22"/>
        </w:rPr>
        <w:t>archeologických nálezů </w:t>
      </w:r>
      <w:r>
        <w:rPr>
          <w:sz w:val="22"/>
        </w:rPr>
        <w:t>Ovčí Hora, Chrastava, Andělská Hora v ÚAN I. a Horní a Dolní Vítkov, Václavice v ÚAN II. - zakreslené do Koordinačního výkresu</w:t>
      </w:r>
      <w:r>
        <w:rPr>
          <w:spacing w:val="-2"/>
          <w:sz w:val="22"/>
        </w:rPr>
        <w:t> </w:t>
      </w:r>
      <w:r>
        <w:rPr>
          <w:sz w:val="22"/>
        </w:rPr>
        <w:t>(5),</w:t>
      </w:r>
    </w:p>
    <w:p>
      <w:pPr>
        <w:pStyle w:val="ListParagraph"/>
        <w:numPr>
          <w:ilvl w:val="0"/>
          <w:numId w:val="2"/>
        </w:numPr>
        <w:tabs>
          <w:tab w:pos="1024" w:val="left" w:leader="none"/>
          <w:tab w:pos="1025" w:val="left" w:leader="none"/>
        </w:tabs>
        <w:spacing w:line="240" w:lineRule="auto" w:before="97" w:after="0"/>
        <w:ind w:left="1024" w:right="0" w:hanging="853"/>
        <w:jc w:val="both"/>
        <w:rPr>
          <w:sz w:val="22"/>
        </w:rPr>
      </w:pPr>
      <w:r>
        <w:rPr>
          <w:sz w:val="22"/>
        </w:rPr>
        <w:t>Celé území obce Chrastava leží na ÚAN</w:t>
      </w:r>
      <w:r>
        <w:rPr>
          <w:spacing w:val="-7"/>
          <w:sz w:val="22"/>
        </w:rPr>
        <w:t> </w:t>
      </w:r>
      <w:r>
        <w:rPr>
          <w:sz w:val="22"/>
        </w:rPr>
        <w:t>III.</w:t>
      </w:r>
    </w:p>
    <w:p>
      <w:pPr>
        <w:pStyle w:val="ListParagraph"/>
        <w:numPr>
          <w:ilvl w:val="0"/>
          <w:numId w:val="1"/>
        </w:numPr>
        <w:tabs>
          <w:tab w:pos="1024" w:val="left" w:leader="none"/>
          <w:tab w:pos="1025" w:val="left" w:leader="none"/>
        </w:tabs>
        <w:spacing w:line="244" w:lineRule="auto" w:before="75" w:after="0"/>
        <w:ind w:left="1024" w:right="146" w:hanging="852"/>
        <w:jc w:val="both"/>
        <w:rPr>
          <w:sz w:val="22"/>
        </w:rPr>
      </w:pPr>
      <w:r>
        <w:rPr>
          <w:b/>
          <w:sz w:val="22"/>
        </w:rPr>
        <w:t>Významné vyhlídkové body </w:t>
      </w:r>
      <w:r>
        <w:rPr>
          <w:sz w:val="22"/>
        </w:rPr>
        <w:t>chránit omezením pronikání zastavitelných ploch do krajinného zázemí města a regulativy činností ve volné</w:t>
      </w:r>
      <w:r>
        <w:rPr>
          <w:spacing w:val="-17"/>
          <w:sz w:val="22"/>
        </w:rPr>
        <w:t> </w:t>
      </w:r>
      <w:r>
        <w:rPr>
          <w:sz w:val="22"/>
        </w:rPr>
        <w:t>krajině.</w:t>
      </w:r>
    </w:p>
    <w:p>
      <w:pPr>
        <w:pStyle w:val="Heading3"/>
        <w:spacing w:before="110"/>
      </w:pPr>
      <w:r>
        <w:rPr/>
        <w:t>BEZPEČNOST</w:t>
      </w:r>
    </w:p>
    <w:p>
      <w:pPr>
        <w:pStyle w:val="ListParagraph"/>
        <w:numPr>
          <w:ilvl w:val="0"/>
          <w:numId w:val="1"/>
        </w:numPr>
        <w:tabs>
          <w:tab w:pos="1024" w:val="left" w:leader="none"/>
          <w:tab w:pos="1025" w:val="left" w:leader="none"/>
        </w:tabs>
        <w:spacing w:line="242" w:lineRule="auto" w:before="119" w:after="0"/>
        <w:ind w:left="1024" w:right="145" w:hanging="852"/>
        <w:jc w:val="both"/>
        <w:rPr>
          <w:sz w:val="22"/>
        </w:rPr>
      </w:pPr>
      <w:r>
        <w:rPr>
          <w:sz w:val="22"/>
        </w:rPr>
        <w:t>Zabránit další urbanizaci </w:t>
      </w:r>
      <w:r>
        <w:rPr>
          <w:b/>
          <w:sz w:val="22"/>
        </w:rPr>
        <w:t>inundačních území</w:t>
      </w:r>
      <w:r>
        <w:rPr>
          <w:sz w:val="22"/>
        </w:rPr>
        <w:t>, koordinovat realizaci protipovodňových opatření v rámci vymezených protipovodňových koridorů na jednotlivých tocích v rámci města,</w:t>
      </w:r>
    </w:p>
    <w:p>
      <w:pPr>
        <w:pStyle w:val="ListParagraph"/>
        <w:numPr>
          <w:ilvl w:val="0"/>
          <w:numId w:val="2"/>
        </w:numPr>
        <w:tabs>
          <w:tab w:pos="1024" w:val="left" w:leader="none"/>
          <w:tab w:pos="1025" w:val="left" w:leader="none"/>
        </w:tabs>
        <w:spacing w:line="240" w:lineRule="auto" w:before="55" w:after="0"/>
        <w:ind w:left="1024" w:right="147" w:hanging="852"/>
        <w:jc w:val="both"/>
        <w:rPr>
          <w:sz w:val="22"/>
        </w:rPr>
      </w:pPr>
      <w:r>
        <w:rPr>
          <w:sz w:val="22"/>
        </w:rPr>
        <w:t>následovat dříve realizovaná </w:t>
      </w:r>
      <w:r>
        <w:rPr>
          <w:b/>
          <w:sz w:val="22"/>
        </w:rPr>
        <w:t>protipovodňová opatření </w:t>
      </w:r>
      <w:r>
        <w:rPr>
          <w:sz w:val="22"/>
        </w:rPr>
        <w:t>realizací dalších záměrů - uvolnění koryta Lužické Nisy a Jeřice, asanace zahrádkářských osad v záplavovém území, úprava koryt</w:t>
      </w:r>
      <w:r>
        <w:rPr>
          <w:spacing w:val="-2"/>
          <w:sz w:val="22"/>
        </w:rPr>
        <w:t> </w:t>
      </w:r>
      <w:r>
        <w:rPr>
          <w:sz w:val="22"/>
        </w:rPr>
        <w:t>potoků.</w:t>
      </w:r>
    </w:p>
    <w:p>
      <w:pPr>
        <w:pStyle w:val="ListParagraph"/>
        <w:numPr>
          <w:ilvl w:val="0"/>
          <w:numId w:val="1"/>
        </w:numPr>
        <w:tabs>
          <w:tab w:pos="1024" w:val="left" w:leader="none"/>
          <w:tab w:pos="1025" w:val="left" w:leader="none"/>
        </w:tabs>
        <w:spacing w:line="240" w:lineRule="auto" w:before="118" w:after="0"/>
        <w:ind w:left="1024" w:right="146" w:hanging="852"/>
        <w:jc w:val="both"/>
        <w:rPr>
          <w:sz w:val="22"/>
        </w:rPr>
      </w:pPr>
      <w:r>
        <w:rPr>
          <w:sz w:val="22"/>
        </w:rPr>
        <w:t>Doplnit fungující </w:t>
      </w:r>
      <w:r>
        <w:rPr>
          <w:b/>
          <w:sz w:val="22"/>
        </w:rPr>
        <w:t>Integrovaný záchranný systém </w:t>
      </w:r>
      <w:r>
        <w:rPr>
          <w:sz w:val="22"/>
        </w:rPr>
        <w:t>na navržených plochách občanského vybavení (O) v návaznosti na reorganizovanou dopravní kostru, která umožní zkvalitnit propojení jednotlivých částí města i obcí ve spádovém</w:t>
      </w:r>
      <w:r>
        <w:rPr>
          <w:spacing w:val="-12"/>
          <w:sz w:val="22"/>
        </w:rPr>
        <w:t> </w:t>
      </w:r>
      <w:r>
        <w:rPr>
          <w:sz w:val="22"/>
        </w:rPr>
        <w:t>obvodu.</w:t>
      </w:r>
    </w:p>
    <w:p>
      <w:pPr>
        <w:pStyle w:val="Heading2"/>
        <w:numPr>
          <w:ilvl w:val="2"/>
          <w:numId w:val="3"/>
        </w:numPr>
        <w:tabs>
          <w:tab w:pos="1025" w:val="left" w:leader="none"/>
        </w:tabs>
        <w:spacing w:line="240" w:lineRule="auto" w:before="181" w:after="0"/>
        <w:ind w:left="1024" w:right="0" w:hanging="853"/>
        <w:jc w:val="both"/>
      </w:pPr>
      <w:r>
        <w:rPr/>
        <w:t>ENVIRONMENTÁLNÍ</w:t>
      </w:r>
      <w:r>
        <w:rPr>
          <w:spacing w:val="-2"/>
        </w:rPr>
        <w:t> </w:t>
      </w:r>
      <w:r>
        <w:rPr/>
        <w:t>PILÍŘ</w:t>
      </w:r>
    </w:p>
    <w:p>
      <w:pPr>
        <w:pStyle w:val="Heading3"/>
        <w:spacing w:before="120"/>
      </w:pPr>
      <w:r>
        <w:rPr/>
        <w:t>KVALITA ŽIVOTNÍHO PROSTŘEDÍ</w:t>
      </w:r>
    </w:p>
    <w:p>
      <w:pPr>
        <w:pStyle w:val="ListParagraph"/>
        <w:numPr>
          <w:ilvl w:val="0"/>
          <w:numId w:val="1"/>
        </w:numPr>
        <w:tabs>
          <w:tab w:pos="1024" w:val="left" w:leader="none"/>
          <w:tab w:pos="1025" w:val="left" w:leader="none"/>
        </w:tabs>
        <w:spacing w:line="240" w:lineRule="auto" w:before="121" w:after="0"/>
        <w:ind w:left="1024" w:right="145" w:hanging="852"/>
        <w:jc w:val="both"/>
        <w:rPr>
          <w:sz w:val="22"/>
        </w:rPr>
      </w:pPr>
      <w:r>
        <w:rPr>
          <w:sz w:val="22"/>
        </w:rPr>
        <w:t>Rozvojovými aktivitami respektovat a využívat v zájmu zachování pro budoucí generace </w:t>
      </w:r>
      <w:r>
        <w:rPr>
          <w:b/>
          <w:sz w:val="22"/>
        </w:rPr>
        <w:t>krajinnou rozmanitost </w:t>
      </w:r>
      <w:r>
        <w:rPr>
          <w:sz w:val="22"/>
        </w:rPr>
        <w:t>území obce, rozsah navazujícího neurbanizovaného území Ještědského hřbetu s částečnou nedotčeností přírodních ploch, pestrost přírodního prostředí obce se zachovalými ekosystémy a chráněným územím Dlouhé hory, územně stabilizovaný systém ekologické</w:t>
      </w:r>
      <w:r>
        <w:rPr>
          <w:spacing w:val="-1"/>
          <w:sz w:val="22"/>
        </w:rPr>
        <w:t> </w:t>
      </w:r>
      <w:r>
        <w:rPr>
          <w:sz w:val="22"/>
        </w:rPr>
        <w:t>stability,...</w:t>
      </w:r>
    </w:p>
    <w:p>
      <w:pPr>
        <w:pStyle w:val="ListParagraph"/>
        <w:numPr>
          <w:ilvl w:val="0"/>
          <w:numId w:val="1"/>
        </w:numPr>
        <w:tabs>
          <w:tab w:pos="1024" w:val="left" w:leader="none"/>
          <w:tab w:pos="1025" w:val="left" w:leader="none"/>
        </w:tabs>
        <w:spacing w:line="240" w:lineRule="auto" w:before="118" w:after="0"/>
        <w:ind w:left="1024" w:right="142" w:hanging="852"/>
        <w:jc w:val="left"/>
        <w:rPr>
          <w:sz w:val="22"/>
        </w:rPr>
      </w:pPr>
      <w:r>
        <w:rPr>
          <w:sz w:val="22"/>
        </w:rPr>
        <w:t>Pomocí přestavby </w:t>
      </w:r>
      <w:r>
        <w:rPr>
          <w:b/>
          <w:sz w:val="22"/>
        </w:rPr>
        <w:t>revitalizovat zanedbané části </w:t>
      </w:r>
      <w:r>
        <w:rPr>
          <w:sz w:val="22"/>
        </w:rPr>
        <w:t>zastavěného území – opuštěné výrobní a zemědělské areály -</w:t>
      </w:r>
      <w:r>
        <w:rPr>
          <w:spacing w:val="-6"/>
          <w:sz w:val="22"/>
        </w:rPr>
        <w:t> </w:t>
      </w:r>
      <w:r>
        <w:rPr>
          <w:sz w:val="22"/>
        </w:rPr>
        <w:t>brownfields.</w:t>
      </w:r>
    </w:p>
    <w:p>
      <w:pPr>
        <w:pStyle w:val="ListParagraph"/>
        <w:numPr>
          <w:ilvl w:val="0"/>
          <w:numId w:val="1"/>
        </w:numPr>
        <w:tabs>
          <w:tab w:pos="1024" w:val="left" w:leader="none"/>
          <w:tab w:pos="1025" w:val="left" w:leader="none"/>
        </w:tabs>
        <w:spacing w:line="240" w:lineRule="auto" w:before="120" w:after="0"/>
        <w:ind w:left="1024" w:right="147" w:hanging="852"/>
        <w:jc w:val="left"/>
        <w:rPr>
          <w:sz w:val="22"/>
        </w:rPr>
      </w:pPr>
      <w:r>
        <w:rPr>
          <w:sz w:val="22"/>
        </w:rPr>
        <w:t>Stavebně technickými opatřeními </w:t>
      </w:r>
      <w:r>
        <w:rPr>
          <w:b/>
          <w:sz w:val="22"/>
        </w:rPr>
        <w:t>minimalizovat negativní vlivy </w:t>
      </w:r>
      <w:r>
        <w:rPr>
          <w:sz w:val="22"/>
        </w:rPr>
        <w:t>dopravy (hluk, prach, NO</w:t>
      </w:r>
      <w:r>
        <w:rPr>
          <w:sz w:val="22"/>
          <w:vertAlign w:val="subscript"/>
        </w:rPr>
        <w:t>X</w:t>
      </w:r>
      <w:r>
        <w:rPr>
          <w:sz w:val="22"/>
          <w:vertAlign w:val="baseline"/>
        </w:rPr>
        <w:t>) z tranzitní komunikace I/35 a nově umístěné silnice</w:t>
      </w:r>
      <w:r>
        <w:rPr>
          <w:spacing w:val="-7"/>
          <w:sz w:val="22"/>
          <w:vertAlign w:val="baseline"/>
        </w:rPr>
        <w:t> </w:t>
      </w:r>
      <w:r>
        <w:rPr>
          <w:sz w:val="22"/>
          <w:vertAlign w:val="baseline"/>
        </w:rPr>
        <w:t>II/592,</w:t>
      </w:r>
    </w:p>
    <w:p>
      <w:pPr>
        <w:pStyle w:val="ListParagraph"/>
        <w:numPr>
          <w:ilvl w:val="0"/>
          <w:numId w:val="2"/>
        </w:numPr>
        <w:tabs>
          <w:tab w:pos="1024" w:val="left" w:leader="none"/>
          <w:tab w:pos="1025" w:val="left" w:leader="none"/>
        </w:tabs>
        <w:spacing w:line="240" w:lineRule="auto" w:before="63" w:after="0"/>
        <w:ind w:left="1024" w:right="147" w:hanging="853"/>
        <w:jc w:val="left"/>
        <w:rPr>
          <w:sz w:val="22"/>
        </w:rPr>
      </w:pPr>
      <w:r>
        <w:rPr>
          <w:sz w:val="22"/>
        </w:rPr>
        <w:t>negativní vlivy dopravy v centru města řešit reorganizací dopravní kostry s vytěsněním zbytné, zejména nákladní dopravy z tohoto území do okruhu kolem jádra</w:t>
      </w:r>
      <w:r>
        <w:rPr>
          <w:spacing w:val="-23"/>
          <w:sz w:val="22"/>
        </w:rPr>
        <w:t> </w:t>
      </w:r>
      <w:r>
        <w:rPr>
          <w:sz w:val="22"/>
        </w:rPr>
        <w:t>města.</w:t>
      </w:r>
    </w:p>
    <w:p>
      <w:pPr>
        <w:pStyle w:val="ListParagraph"/>
        <w:numPr>
          <w:ilvl w:val="0"/>
          <w:numId w:val="1"/>
        </w:numPr>
        <w:tabs>
          <w:tab w:pos="1024" w:val="left" w:leader="none"/>
          <w:tab w:pos="1025" w:val="left" w:leader="none"/>
        </w:tabs>
        <w:spacing w:line="242" w:lineRule="auto" w:before="115" w:after="0"/>
        <w:ind w:left="1024" w:right="146" w:hanging="852"/>
        <w:jc w:val="both"/>
        <w:rPr>
          <w:sz w:val="22"/>
        </w:rPr>
      </w:pPr>
      <w:r>
        <w:rPr>
          <w:b/>
          <w:sz w:val="22"/>
        </w:rPr>
        <w:t>Zlepšit kvalitu ovzduší </w:t>
      </w:r>
      <w:r>
        <w:rPr>
          <w:sz w:val="22"/>
        </w:rPr>
        <w:t>v řešeném území postupnou ekologizací středních zdrojů znečištění ovzduší (převedení kotelen na zemní plyn) a plošnou plynofikací území města nebo kombinovaným vytápěním s využitím moderních způsobů</w:t>
      </w:r>
      <w:r>
        <w:rPr>
          <w:spacing w:val="-2"/>
          <w:sz w:val="22"/>
        </w:rPr>
        <w:t> </w:t>
      </w:r>
      <w:r>
        <w:rPr>
          <w:sz w:val="22"/>
        </w:rPr>
        <w:t>vytápění,</w:t>
      </w:r>
    </w:p>
    <w:p>
      <w:pPr>
        <w:pStyle w:val="ListParagraph"/>
        <w:numPr>
          <w:ilvl w:val="0"/>
          <w:numId w:val="2"/>
        </w:numPr>
        <w:tabs>
          <w:tab w:pos="1024" w:val="left" w:leader="none"/>
          <w:tab w:pos="1025" w:val="left" w:leader="none"/>
        </w:tabs>
        <w:spacing w:line="240" w:lineRule="auto" w:before="56" w:after="0"/>
        <w:ind w:left="1024" w:right="148" w:hanging="853"/>
        <w:jc w:val="left"/>
        <w:rPr>
          <w:sz w:val="22"/>
        </w:rPr>
      </w:pPr>
      <w:r>
        <w:rPr>
          <w:sz w:val="22"/>
        </w:rPr>
        <w:t>tím snížit negativní účinky malých zdrojů znečištění ovzduší - lokálních topenišť v obytné zástavbě.</w:t>
      </w:r>
    </w:p>
    <w:p>
      <w:pPr>
        <w:pStyle w:val="ListParagraph"/>
        <w:numPr>
          <w:ilvl w:val="0"/>
          <w:numId w:val="1"/>
        </w:numPr>
        <w:tabs>
          <w:tab w:pos="1024" w:val="left" w:leader="none"/>
          <w:tab w:pos="1025" w:val="left" w:leader="none"/>
        </w:tabs>
        <w:spacing w:line="240" w:lineRule="auto" w:before="117" w:after="0"/>
        <w:ind w:left="1024" w:right="147" w:hanging="852"/>
        <w:jc w:val="left"/>
        <w:rPr>
          <w:sz w:val="22"/>
        </w:rPr>
      </w:pPr>
      <w:r>
        <w:rPr>
          <w:b/>
          <w:sz w:val="22"/>
        </w:rPr>
        <w:t>Čistotu vod </w:t>
      </w:r>
      <w:r>
        <w:rPr>
          <w:sz w:val="22"/>
        </w:rPr>
        <w:t>zlepšit dokompletováním kanalizační sítě a dokončením centrální ČOV, rušit provizorní lokální</w:t>
      </w:r>
      <w:r>
        <w:rPr>
          <w:spacing w:val="-7"/>
          <w:sz w:val="22"/>
        </w:rPr>
        <w:t> </w:t>
      </w:r>
      <w:r>
        <w:rPr>
          <w:sz w:val="22"/>
        </w:rPr>
        <w:t>ČOV,</w:t>
      </w:r>
    </w:p>
    <w:p>
      <w:pPr>
        <w:pStyle w:val="ListParagraph"/>
        <w:numPr>
          <w:ilvl w:val="0"/>
          <w:numId w:val="2"/>
        </w:numPr>
        <w:tabs>
          <w:tab w:pos="1024" w:val="left" w:leader="none"/>
          <w:tab w:pos="1025" w:val="left" w:leader="none"/>
        </w:tabs>
        <w:spacing w:line="240" w:lineRule="auto" w:before="61" w:after="0"/>
        <w:ind w:left="1024" w:right="146" w:hanging="853"/>
        <w:jc w:val="left"/>
        <w:rPr>
          <w:sz w:val="22"/>
        </w:rPr>
      </w:pPr>
      <w:r>
        <w:rPr>
          <w:sz w:val="22"/>
        </w:rPr>
        <w:t>při zemědělské činnosti respektovat ochranu spodních a povrchových vod správnou zemědělskou praxí a nakládáním s</w:t>
      </w:r>
      <w:r>
        <w:rPr>
          <w:spacing w:val="-2"/>
          <w:sz w:val="22"/>
        </w:rPr>
        <w:t> </w:t>
      </w:r>
      <w:r>
        <w:rPr>
          <w:sz w:val="22"/>
        </w:rPr>
        <w:t>odpady.</w:t>
      </w:r>
    </w:p>
    <w:p>
      <w:pPr>
        <w:pStyle w:val="ListParagraph"/>
        <w:numPr>
          <w:ilvl w:val="0"/>
          <w:numId w:val="1"/>
        </w:numPr>
        <w:tabs>
          <w:tab w:pos="1024" w:val="left" w:leader="none"/>
          <w:tab w:pos="1025" w:val="left" w:leader="none"/>
        </w:tabs>
        <w:spacing w:line="244" w:lineRule="auto" w:before="117" w:after="0"/>
        <w:ind w:left="1024" w:right="145" w:hanging="852"/>
        <w:jc w:val="left"/>
        <w:rPr>
          <w:sz w:val="22"/>
        </w:rPr>
      </w:pPr>
      <w:r>
        <w:rPr>
          <w:b/>
          <w:sz w:val="22"/>
        </w:rPr>
        <w:t>Chránit půdy </w:t>
      </w:r>
      <w:r>
        <w:rPr>
          <w:sz w:val="22"/>
        </w:rPr>
        <w:t>s vyšší třídou ochrany, revitalizaci zemědělské krajiny řešit globálně při respektování stávajících prvků ÚSES a jejich</w:t>
      </w:r>
      <w:r>
        <w:rPr>
          <w:spacing w:val="-4"/>
          <w:sz w:val="22"/>
        </w:rPr>
        <w:t> </w:t>
      </w:r>
      <w:r>
        <w:rPr>
          <w:sz w:val="22"/>
        </w:rPr>
        <w:t>doplněním,</w:t>
      </w:r>
    </w:p>
    <w:p>
      <w:pPr>
        <w:pStyle w:val="ListParagraph"/>
        <w:numPr>
          <w:ilvl w:val="0"/>
          <w:numId w:val="2"/>
        </w:numPr>
        <w:tabs>
          <w:tab w:pos="1024" w:val="left" w:leader="none"/>
          <w:tab w:pos="1025" w:val="left" w:leader="none"/>
        </w:tabs>
        <w:spacing w:line="240" w:lineRule="auto" w:before="53" w:after="0"/>
        <w:ind w:left="1024" w:right="0" w:hanging="853"/>
        <w:jc w:val="left"/>
        <w:rPr>
          <w:sz w:val="22"/>
        </w:rPr>
      </w:pPr>
      <w:r>
        <w:rPr>
          <w:sz w:val="22"/>
        </w:rPr>
        <w:t>nadále vytvářet podmínky pro fungování produkčního obhospodařování</w:t>
      </w:r>
      <w:r>
        <w:rPr>
          <w:spacing w:val="-16"/>
          <w:sz w:val="22"/>
        </w:rPr>
        <w:t> </w:t>
      </w:r>
      <w:r>
        <w:rPr>
          <w:sz w:val="22"/>
        </w:rPr>
        <w:t>půdy,</w:t>
      </w:r>
    </w:p>
    <w:p>
      <w:pPr>
        <w:pStyle w:val="ListParagraph"/>
        <w:numPr>
          <w:ilvl w:val="0"/>
          <w:numId w:val="2"/>
        </w:numPr>
        <w:tabs>
          <w:tab w:pos="1024" w:val="left" w:leader="none"/>
          <w:tab w:pos="1025" w:val="left" w:leader="none"/>
        </w:tabs>
        <w:spacing w:line="240" w:lineRule="auto" w:before="58" w:after="0"/>
        <w:ind w:left="1024" w:right="151" w:hanging="852"/>
        <w:jc w:val="both"/>
        <w:rPr>
          <w:sz w:val="22"/>
        </w:rPr>
      </w:pPr>
      <w:r>
        <w:rPr>
          <w:sz w:val="22"/>
        </w:rPr>
        <w:t>klást zvýšený důraz na údržbu a obnovu krajiny, revitalizovat zanedbané části krajiny a posilovat ekologickou stabilitu</w:t>
      </w:r>
      <w:r>
        <w:rPr>
          <w:spacing w:val="1"/>
          <w:sz w:val="22"/>
        </w:rPr>
        <w:t> </w:t>
      </w:r>
      <w:r>
        <w:rPr>
          <w:sz w:val="22"/>
        </w:rPr>
        <w:t>krajiny.</w:t>
      </w:r>
    </w:p>
    <w:p>
      <w:pPr>
        <w:pStyle w:val="ListParagraph"/>
        <w:numPr>
          <w:ilvl w:val="0"/>
          <w:numId w:val="1"/>
        </w:numPr>
        <w:tabs>
          <w:tab w:pos="1024" w:val="left" w:leader="none"/>
          <w:tab w:pos="1025" w:val="left" w:leader="none"/>
        </w:tabs>
        <w:spacing w:line="240" w:lineRule="auto" w:before="117" w:after="0"/>
        <w:ind w:left="1024" w:right="144" w:hanging="852"/>
        <w:jc w:val="both"/>
        <w:rPr>
          <w:sz w:val="22"/>
        </w:rPr>
      </w:pPr>
      <w:r>
        <w:rPr>
          <w:sz w:val="22"/>
        </w:rPr>
        <w:t>Pro zamezení vzniku </w:t>
      </w:r>
      <w:r>
        <w:rPr>
          <w:b/>
          <w:sz w:val="22"/>
        </w:rPr>
        <w:t>erozních jevů </w:t>
      </w:r>
      <w:r>
        <w:rPr>
          <w:sz w:val="22"/>
        </w:rPr>
        <w:t>na svažitějších zemědělských pozemcích při obhospodařování zemědělské půdy a při pěstování problematických druhů plodin v potencionálně ohrožených územích důsledně kontrolovat dodržování technologické kázně.</w:t>
      </w:r>
    </w:p>
    <w:p>
      <w:pPr>
        <w:spacing w:after="0" w:line="240" w:lineRule="auto"/>
        <w:jc w:val="both"/>
        <w:rPr>
          <w:sz w:val="22"/>
        </w:rPr>
        <w:sectPr>
          <w:pgSz w:w="11900" w:h="16840"/>
          <w:pgMar w:header="561" w:footer="582" w:top="760" w:bottom="780" w:left="960" w:right="980"/>
        </w:sectPr>
      </w:pPr>
    </w:p>
    <w:p>
      <w:pPr>
        <w:pStyle w:val="BodyText"/>
        <w:spacing w:before="7"/>
        <w:ind w:left="0" w:firstLine="0"/>
        <w:jc w:val="left"/>
      </w:pPr>
    </w:p>
    <w:p>
      <w:pPr>
        <w:pStyle w:val="ListParagraph"/>
        <w:numPr>
          <w:ilvl w:val="0"/>
          <w:numId w:val="1"/>
        </w:numPr>
        <w:tabs>
          <w:tab w:pos="1024" w:val="left" w:leader="none"/>
          <w:tab w:pos="1025" w:val="left" w:leader="none"/>
        </w:tabs>
        <w:spacing w:line="240" w:lineRule="auto" w:before="101" w:after="0"/>
        <w:ind w:left="1024" w:right="146" w:hanging="852"/>
        <w:jc w:val="both"/>
        <w:rPr>
          <w:sz w:val="22"/>
        </w:rPr>
      </w:pPr>
      <w:r>
        <w:rPr>
          <w:sz w:val="22"/>
        </w:rPr>
        <w:t>Navrženou koncepcí uspořádání krajiny spolu s likvidací starých ekologických zátěží a rekultivací jejich území směřovat k </w:t>
      </w:r>
      <w:r>
        <w:rPr>
          <w:b/>
          <w:sz w:val="22"/>
        </w:rPr>
        <w:t>likvidaci znečištění půd</w:t>
      </w:r>
      <w:r>
        <w:rPr>
          <w:sz w:val="22"/>
        </w:rPr>
        <w:t>, horninového prostředí a povrchových</w:t>
      </w:r>
      <w:r>
        <w:rPr>
          <w:spacing w:val="-1"/>
          <w:sz w:val="22"/>
        </w:rPr>
        <w:t> </w:t>
      </w:r>
      <w:r>
        <w:rPr>
          <w:sz w:val="22"/>
        </w:rPr>
        <w:t>vod,</w:t>
      </w:r>
    </w:p>
    <w:p>
      <w:pPr>
        <w:pStyle w:val="ListParagraph"/>
        <w:numPr>
          <w:ilvl w:val="0"/>
          <w:numId w:val="2"/>
        </w:numPr>
        <w:tabs>
          <w:tab w:pos="1024" w:val="left" w:leader="none"/>
          <w:tab w:pos="1025" w:val="left" w:leader="none"/>
        </w:tabs>
        <w:spacing w:line="240" w:lineRule="auto" w:before="62" w:after="0"/>
        <w:ind w:left="1024" w:right="146" w:hanging="852"/>
        <w:jc w:val="both"/>
        <w:rPr>
          <w:sz w:val="22"/>
        </w:rPr>
      </w:pPr>
      <w:r>
        <w:rPr>
          <w:sz w:val="22"/>
        </w:rPr>
        <w:t>zvláštní pozornost věnovat bývalým skládkám Dolní Vítkov (Kameniště) a Andělská Hora (u</w:t>
      </w:r>
      <w:r>
        <w:rPr>
          <w:spacing w:val="-1"/>
          <w:sz w:val="22"/>
        </w:rPr>
        <w:t> </w:t>
      </w:r>
      <w:r>
        <w:rPr>
          <w:sz w:val="22"/>
        </w:rPr>
        <w:t>elektrárny).</w:t>
      </w:r>
    </w:p>
    <w:p>
      <w:pPr>
        <w:pStyle w:val="ListParagraph"/>
        <w:numPr>
          <w:ilvl w:val="0"/>
          <w:numId w:val="1"/>
        </w:numPr>
        <w:tabs>
          <w:tab w:pos="1024" w:val="left" w:leader="none"/>
          <w:tab w:pos="1025" w:val="left" w:leader="none"/>
        </w:tabs>
        <w:spacing w:line="240" w:lineRule="auto" w:before="117" w:after="0"/>
        <w:ind w:left="1024" w:right="146" w:hanging="852"/>
        <w:jc w:val="both"/>
        <w:rPr>
          <w:sz w:val="22"/>
        </w:rPr>
      </w:pPr>
      <w:r>
        <w:rPr>
          <w:b/>
          <w:sz w:val="22"/>
        </w:rPr>
        <w:t>Ubývání volné krajiny </w:t>
      </w:r>
      <w:r>
        <w:rPr>
          <w:sz w:val="22"/>
        </w:rPr>
        <w:t>a půdního fondu na úkor zástavby usměrňovat respektováním regulativů vymezených funkčního ploch se zohledněním podmínek ochrany přírody a krajiny a za respektování souhrnných plošných požadavků urbanistického řešení na zábor ZPF a</w:t>
      </w:r>
      <w:r>
        <w:rPr>
          <w:spacing w:val="-1"/>
          <w:sz w:val="22"/>
        </w:rPr>
        <w:t> </w:t>
      </w:r>
      <w:r>
        <w:rPr>
          <w:sz w:val="22"/>
        </w:rPr>
        <w:t>PUPFL.</w:t>
      </w:r>
    </w:p>
    <w:p>
      <w:pPr>
        <w:pStyle w:val="Heading3"/>
        <w:spacing w:before="119"/>
      </w:pPr>
      <w:r>
        <w:rPr/>
        <w:t>GEOLOGIE</w:t>
      </w:r>
    </w:p>
    <w:p>
      <w:pPr>
        <w:pStyle w:val="ListParagraph"/>
        <w:numPr>
          <w:ilvl w:val="0"/>
          <w:numId w:val="1"/>
        </w:numPr>
        <w:tabs>
          <w:tab w:pos="1024" w:val="left" w:leader="none"/>
          <w:tab w:pos="1025" w:val="left" w:leader="none"/>
        </w:tabs>
        <w:spacing w:line="251" w:lineRule="exact" w:before="123" w:after="0"/>
        <w:ind w:left="1024" w:right="0" w:hanging="853"/>
        <w:jc w:val="left"/>
        <w:rPr>
          <w:sz w:val="22"/>
        </w:rPr>
      </w:pPr>
      <w:r>
        <w:rPr>
          <w:sz w:val="22"/>
        </w:rPr>
        <w:t>Respektovat pro rozvoj města nepodstatný omezující či iniciační význam a</w:t>
      </w:r>
      <w:r>
        <w:rPr>
          <w:spacing w:val="39"/>
          <w:sz w:val="22"/>
        </w:rPr>
        <w:t> </w:t>
      </w:r>
      <w:r>
        <w:rPr>
          <w:sz w:val="22"/>
        </w:rPr>
        <w:t>ochranu</w:t>
      </w:r>
    </w:p>
    <w:p>
      <w:pPr>
        <w:spacing w:line="251" w:lineRule="exact" w:before="0"/>
        <w:ind w:left="1024" w:right="0" w:firstLine="0"/>
        <w:jc w:val="left"/>
        <w:rPr>
          <w:sz w:val="22"/>
        </w:rPr>
      </w:pPr>
      <w:r>
        <w:rPr>
          <w:b/>
          <w:sz w:val="22"/>
        </w:rPr>
        <w:t>výhradních ložisek nerostných surovin </w:t>
      </w:r>
      <w:r>
        <w:rPr>
          <w:sz w:val="22"/>
        </w:rPr>
        <w:t>(vymezená CHLÚ, PZ).</w:t>
      </w:r>
    </w:p>
    <w:p>
      <w:pPr>
        <w:pStyle w:val="ListParagraph"/>
        <w:numPr>
          <w:ilvl w:val="0"/>
          <w:numId w:val="1"/>
        </w:numPr>
        <w:tabs>
          <w:tab w:pos="1024" w:val="left" w:leader="none"/>
          <w:tab w:pos="1025" w:val="left" w:leader="none"/>
        </w:tabs>
        <w:spacing w:line="240" w:lineRule="auto" w:before="119" w:after="0"/>
        <w:ind w:left="1024" w:right="147" w:hanging="852"/>
        <w:jc w:val="left"/>
        <w:rPr>
          <w:sz w:val="22"/>
        </w:rPr>
      </w:pPr>
      <w:r>
        <w:rPr>
          <w:sz w:val="22"/>
        </w:rPr>
        <w:t>Prověřit z hlediska zásobování města teplem doplňkový charakter </w:t>
      </w:r>
      <w:r>
        <w:rPr>
          <w:b/>
          <w:sz w:val="22"/>
        </w:rPr>
        <w:t>možnosti využití geotermální energie </w:t>
      </w:r>
      <w:r>
        <w:rPr>
          <w:sz w:val="22"/>
        </w:rPr>
        <w:t>z Lužické</w:t>
      </w:r>
      <w:r>
        <w:rPr>
          <w:spacing w:val="-3"/>
          <w:sz w:val="22"/>
        </w:rPr>
        <w:t> </w:t>
      </w:r>
      <w:r>
        <w:rPr>
          <w:sz w:val="22"/>
        </w:rPr>
        <w:t>poruchy.</w:t>
      </w:r>
    </w:p>
    <w:p>
      <w:pPr>
        <w:pStyle w:val="Heading3"/>
        <w:spacing w:before="121"/>
      </w:pPr>
      <w:r>
        <w:rPr/>
        <w:t>HYDROLOGIE A KLIMATOLOGIE</w:t>
      </w:r>
    </w:p>
    <w:p>
      <w:pPr>
        <w:pStyle w:val="ListParagraph"/>
        <w:numPr>
          <w:ilvl w:val="0"/>
          <w:numId w:val="1"/>
        </w:numPr>
        <w:tabs>
          <w:tab w:pos="1024" w:val="left" w:leader="none"/>
          <w:tab w:pos="1025" w:val="left" w:leader="none"/>
        </w:tabs>
        <w:spacing w:line="240" w:lineRule="auto" w:before="42" w:after="0"/>
        <w:ind w:left="1024" w:right="147" w:hanging="852"/>
        <w:jc w:val="left"/>
        <w:rPr>
          <w:sz w:val="22"/>
        </w:rPr>
      </w:pPr>
      <w:r>
        <w:rPr>
          <w:sz w:val="22"/>
        </w:rPr>
        <w:t>Respektovat význam </w:t>
      </w:r>
      <w:r>
        <w:rPr>
          <w:b/>
          <w:sz w:val="22"/>
        </w:rPr>
        <w:t>vodních ploch a toků</w:t>
      </w:r>
      <w:r>
        <w:rPr>
          <w:sz w:val="22"/>
        </w:rPr>
        <w:t>, které budou po revitalizaci a doplnění tvořit základ kostry nezastavitelných pásů pronikajících do zastavěného území z volné</w:t>
      </w:r>
      <w:r>
        <w:rPr>
          <w:spacing w:val="-34"/>
          <w:sz w:val="22"/>
        </w:rPr>
        <w:t> </w:t>
      </w:r>
      <w:r>
        <w:rPr>
          <w:sz w:val="22"/>
        </w:rPr>
        <w:t>krajiny.</w:t>
      </w:r>
    </w:p>
    <w:p>
      <w:pPr>
        <w:pStyle w:val="ListParagraph"/>
        <w:numPr>
          <w:ilvl w:val="0"/>
          <w:numId w:val="1"/>
        </w:numPr>
        <w:tabs>
          <w:tab w:pos="1024" w:val="left" w:leader="none"/>
          <w:tab w:pos="1025" w:val="left" w:leader="none"/>
        </w:tabs>
        <w:spacing w:line="240" w:lineRule="auto" w:before="39" w:after="0"/>
        <w:ind w:left="1024" w:right="146" w:hanging="853"/>
        <w:jc w:val="left"/>
        <w:rPr>
          <w:sz w:val="22"/>
        </w:rPr>
      </w:pPr>
      <w:r>
        <w:rPr>
          <w:sz w:val="22"/>
        </w:rPr>
        <w:t>Využívat prostorotvornou a uživatelskou hodnotu </w:t>
      </w:r>
      <w:r>
        <w:rPr>
          <w:b/>
          <w:sz w:val="22"/>
        </w:rPr>
        <w:t>nábřežních prostorů </w:t>
      </w:r>
      <w:r>
        <w:rPr>
          <w:sz w:val="22"/>
        </w:rPr>
        <w:t>zejména na průtoku Lužické Nisy a Jeřice centrem</w:t>
      </w:r>
      <w:r>
        <w:rPr>
          <w:spacing w:val="-6"/>
          <w:sz w:val="22"/>
        </w:rPr>
        <w:t> </w:t>
      </w:r>
      <w:r>
        <w:rPr>
          <w:sz w:val="22"/>
        </w:rPr>
        <w:t>města.</w:t>
      </w:r>
    </w:p>
    <w:p>
      <w:pPr>
        <w:pStyle w:val="ListParagraph"/>
        <w:numPr>
          <w:ilvl w:val="0"/>
          <w:numId w:val="1"/>
        </w:numPr>
        <w:tabs>
          <w:tab w:pos="1024" w:val="left" w:leader="none"/>
          <w:tab w:pos="1025" w:val="left" w:leader="none"/>
        </w:tabs>
        <w:spacing w:line="240" w:lineRule="auto" w:before="41" w:after="0"/>
        <w:ind w:left="1024" w:right="145" w:hanging="852"/>
        <w:jc w:val="left"/>
        <w:rPr>
          <w:sz w:val="22"/>
        </w:rPr>
      </w:pPr>
      <w:r>
        <w:rPr>
          <w:sz w:val="22"/>
        </w:rPr>
        <w:t>Využívat </w:t>
      </w:r>
      <w:r>
        <w:rPr>
          <w:b/>
          <w:sz w:val="22"/>
        </w:rPr>
        <w:t>příznivé mikroklima </w:t>
      </w:r>
      <w:r>
        <w:rPr>
          <w:sz w:val="22"/>
        </w:rPr>
        <w:t>jižních svahů severní části řešeného území pro bydlení pouze lokálním doplněním těchto již vyčerpaných</w:t>
      </w:r>
      <w:r>
        <w:rPr>
          <w:spacing w:val="-4"/>
          <w:sz w:val="22"/>
        </w:rPr>
        <w:t> </w:t>
      </w:r>
      <w:r>
        <w:rPr>
          <w:sz w:val="22"/>
        </w:rPr>
        <w:t>ploch.</w:t>
      </w:r>
    </w:p>
    <w:p>
      <w:pPr>
        <w:pStyle w:val="Heading3"/>
        <w:spacing w:before="118"/>
      </w:pPr>
      <w:r>
        <w:rPr/>
        <w:t>PŮDNÍ FOND A PŮDNÍ PODMÍNKY</w:t>
      </w:r>
    </w:p>
    <w:p>
      <w:pPr>
        <w:pStyle w:val="ListParagraph"/>
        <w:numPr>
          <w:ilvl w:val="0"/>
          <w:numId w:val="1"/>
        </w:numPr>
        <w:tabs>
          <w:tab w:pos="1024" w:val="left" w:leader="none"/>
          <w:tab w:pos="1025" w:val="left" w:leader="none"/>
        </w:tabs>
        <w:spacing w:line="240" w:lineRule="auto" w:before="40" w:after="0"/>
        <w:ind w:left="1024" w:right="146" w:hanging="852"/>
        <w:jc w:val="both"/>
        <w:rPr>
          <w:b/>
          <w:sz w:val="22"/>
        </w:rPr>
      </w:pPr>
      <w:r>
        <w:rPr>
          <w:sz w:val="22"/>
        </w:rPr>
        <w:t>Pouze v odůvodněných případech využívat pro zastavitelné plochy </w:t>
      </w:r>
      <w:r>
        <w:rPr>
          <w:b/>
          <w:sz w:val="22"/>
        </w:rPr>
        <w:t>zemědělské pozemky I. a II. třídy ochrany</w:t>
      </w:r>
      <w:r>
        <w:rPr>
          <w:b/>
          <w:spacing w:val="-13"/>
          <w:sz w:val="22"/>
        </w:rPr>
        <w:t> </w:t>
      </w:r>
      <w:r>
        <w:rPr>
          <w:b/>
          <w:sz w:val="22"/>
        </w:rPr>
        <w:t>ZPF.</w:t>
      </w:r>
    </w:p>
    <w:p>
      <w:pPr>
        <w:pStyle w:val="ListParagraph"/>
        <w:numPr>
          <w:ilvl w:val="0"/>
          <w:numId w:val="1"/>
        </w:numPr>
        <w:tabs>
          <w:tab w:pos="1024" w:val="left" w:leader="none"/>
          <w:tab w:pos="1025" w:val="left" w:leader="none"/>
        </w:tabs>
        <w:spacing w:line="237" w:lineRule="auto" w:before="65" w:after="0"/>
        <w:ind w:left="1024" w:right="148" w:hanging="852"/>
        <w:jc w:val="both"/>
        <w:rPr>
          <w:sz w:val="22"/>
        </w:rPr>
      </w:pPr>
      <w:r>
        <w:rPr>
          <w:sz w:val="22"/>
        </w:rPr>
        <w:t>Zohlednit pro rozvoj města méně podstatný omezující význam pozemků zainvestovaných plošným </w:t>
      </w:r>
      <w:r>
        <w:rPr>
          <w:b/>
          <w:sz w:val="22"/>
        </w:rPr>
        <w:t>drenážním odvodněním </w:t>
      </w:r>
      <w:r>
        <w:rPr>
          <w:sz w:val="22"/>
        </w:rPr>
        <w:t>s ohledem na stáří a aktuální (ne)funkčnost</w:t>
      </w:r>
      <w:r>
        <w:rPr>
          <w:spacing w:val="-29"/>
          <w:sz w:val="22"/>
        </w:rPr>
        <w:t> </w:t>
      </w:r>
      <w:r>
        <w:rPr>
          <w:sz w:val="22"/>
        </w:rPr>
        <w:t>zařízení.</w:t>
      </w:r>
    </w:p>
    <w:p>
      <w:pPr>
        <w:pStyle w:val="ListParagraph"/>
        <w:numPr>
          <w:ilvl w:val="0"/>
          <w:numId w:val="1"/>
        </w:numPr>
        <w:tabs>
          <w:tab w:pos="1024" w:val="left" w:leader="none"/>
          <w:tab w:pos="1025" w:val="left" w:leader="none"/>
        </w:tabs>
        <w:spacing w:line="240" w:lineRule="auto" w:before="61" w:after="0"/>
        <w:ind w:left="1024" w:right="146" w:hanging="852"/>
        <w:jc w:val="both"/>
        <w:rPr>
          <w:sz w:val="22"/>
        </w:rPr>
      </w:pPr>
      <w:r>
        <w:rPr>
          <w:sz w:val="22"/>
        </w:rPr>
        <w:t>Zachovat </w:t>
      </w:r>
      <w:r>
        <w:rPr>
          <w:b/>
          <w:sz w:val="22"/>
        </w:rPr>
        <w:t>vysoké zastoupení lesní půdy </w:t>
      </w:r>
      <w:r>
        <w:rPr>
          <w:sz w:val="22"/>
        </w:rPr>
        <w:t>v řešeném území, které je s ohledem na umístění lesů na horských svazích základem urbanistické kvality města, zábory lesní půdy omezit na nutnou</w:t>
      </w:r>
      <w:r>
        <w:rPr>
          <w:spacing w:val="1"/>
          <w:sz w:val="22"/>
        </w:rPr>
        <w:t> </w:t>
      </w:r>
      <w:r>
        <w:rPr>
          <w:sz w:val="22"/>
        </w:rPr>
        <w:t>infrastrukturu.</w:t>
      </w:r>
    </w:p>
    <w:p>
      <w:pPr>
        <w:pStyle w:val="Heading3"/>
        <w:spacing w:before="119"/>
      </w:pPr>
      <w:r>
        <w:rPr/>
        <w:t>OBECNÁ OCHRANA PŘÍRODY A KRAJINY</w:t>
      </w:r>
    </w:p>
    <w:p>
      <w:pPr>
        <w:pStyle w:val="ListParagraph"/>
        <w:numPr>
          <w:ilvl w:val="0"/>
          <w:numId w:val="1"/>
        </w:numPr>
        <w:tabs>
          <w:tab w:pos="1024" w:val="left" w:leader="none"/>
          <w:tab w:pos="1025" w:val="left" w:leader="none"/>
        </w:tabs>
        <w:spacing w:line="240" w:lineRule="auto" w:before="59" w:after="0"/>
        <w:ind w:left="1024" w:right="0" w:hanging="853"/>
        <w:jc w:val="left"/>
        <w:rPr>
          <w:sz w:val="22"/>
        </w:rPr>
      </w:pPr>
      <w:r>
        <w:rPr>
          <w:sz w:val="22"/>
        </w:rPr>
        <w:t>Při</w:t>
      </w:r>
      <w:r>
        <w:rPr>
          <w:spacing w:val="31"/>
          <w:sz w:val="22"/>
        </w:rPr>
        <w:t> </w:t>
      </w:r>
      <w:r>
        <w:rPr>
          <w:sz w:val="22"/>
        </w:rPr>
        <w:t>změnách</w:t>
      </w:r>
      <w:r>
        <w:rPr>
          <w:spacing w:val="32"/>
          <w:sz w:val="22"/>
        </w:rPr>
        <w:t> </w:t>
      </w:r>
      <w:r>
        <w:rPr>
          <w:sz w:val="22"/>
        </w:rPr>
        <w:t>využití</w:t>
      </w:r>
      <w:r>
        <w:rPr>
          <w:spacing w:val="29"/>
          <w:sz w:val="22"/>
        </w:rPr>
        <w:t> </w:t>
      </w:r>
      <w:r>
        <w:rPr>
          <w:sz w:val="22"/>
        </w:rPr>
        <w:t>území</w:t>
      </w:r>
      <w:r>
        <w:rPr>
          <w:spacing w:val="29"/>
          <w:sz w:val="22"/>
        </w:rPr>
        <w:t> </w:t>
      </w:r>
      <w:r>
        <w:rPr>
          <w:sz w:val="22"/>
        </w:rPr>
        <w:t>respektovat</w:t>
      </w:r>
      <w:r>
        <w:rPr>
          <w:spacing w:val="33"/>
          <w:sz w:val="22"/>
        </w:rPr>
        <w:t> </w:t>
      </w:r>
      <w:r>
        <w:rPr>
          <w:b/>
          <w:sz w:val="22"/>
        </w:rPr>
        <w:t>významné</w:t>
      </w:r>
      <w:r>
        <w:rPr>
          <w:b/>
          <w:spacing w:val="33"/>
          <w:sz w:val="22"/>
        </w:rPr>
        <w:t> </w:t>
      </w:r>
      <w:r>
        <w:rPr>
          <w:b/>
          <w:sz w:val="22"/>
        </w:rPr>
        <w:t>krajinné</w:t>
      </w:r>
      <w:r>
        <w:rPr>
          <w:b/>
          <w:spacing w:val="32"/>
          <w:sz w:val="22"/>
        </w:rPr>
        <w:t> </w:t>
      </w:r>
      <w:r>
        <w:rPr>
          <w:b/>
          <w:sz w:val="22"/>
        </w:rPr>
        <w:t>prvky</w:t>
      </w:r>
      <w:r>
        <w:rPr>
          <w:b/>
          <w:spacing w:val="27"/>
          <w:sz w:val="22"/>
        </w:rPr>
        <w:t> </w:t>
      </w:r>
      <w:r>
        <w:rPr>
          <w:sz w:val="22"/>
        </w:rPr>
        <w:t>(VKP)</w:t>
      </w:r>
      <w:r>
        <w:rPr>
          <w:spacing w:val="33"/>
          <w:sz w:val="22"/>
        </w:rPr>
        <w:t> </w:t>
      </w:r>
      <w:r>
        <w:rPr>
          <w:sz w:val="22"/>
        </w:rPr>
        <w:t>„ze</w:t>
      </w:r>
      <w:r>
        <w:rPr>
          <w:spacing w:val="32"/>
          <w:sz w:val="22"/>
        </w:rPr>
        <w:t> </w:t>
      </w:r>
      <w:r>
        <w:rPr>
          <w:sz w:val="22"/>
        </w:rPr>
        <w:t>zákona“</w:t>
      </w:r>
      <w:r>
        <w:rPr>
          <w:spacing w:val="31"/>
          <w:sz w:val="22"/>
        </w:rPr>
        <w:t> </w:t>
      </w:r>
      <w:r>
        <w:rPr>
          <w:sz w:val="22"/>
        </w:rPr>
        <w:t>i</w:t>
      </w:r>
    </w:p>
    <w:p>
      <w:pPr>
        <w:spacing w:before="2"/>
        <w:ind w:left="1024" w:right="0" w:firstLine="0"/>
        <w:jc w:val="left"/>
        <w:rPr>
          <w:sz w:val="22"/>
        </w:rPr>
      </w:pPr>
      <w:r>
        <w:rPr>
          <w:b/>
          <w:sz w:val="22"/>
        </w:rPr>
        <w:t>registrované </w:t>
      </w:r>
      <w:r>
        <w:rPr>
          <w:sz w:val="22"/>
        </w:rPr>
        <w:t>(dále též VKP) vč. OP vodních toků a lesa.</w:t>
      </w:r>
    </w:p>
    <w:p>
      <w:pPr>
        <w:pStyle w:val="ListParagraph"/>
        <w:numPr>
          <w:ilvl w:val="0"/>
          <w:numId w:val="1"/>
        </w:numPr>
        <w:tabs>
          <w:tab w:pos="1024" w:val="left" w:leader="none"/>
          <w:tab w:pos="1025" w:val="left" w:leader="none"/>
        </w:tabs>
        <w:spacing w:line="240" w:lineRule="auto" w:before="61" w:after="0"/>
        <w:ind w:left="1024" w:right="147" w:hanging="852"/>
        <w:jc w:val="left"/>
        <w:rPr>
          <w:b/>
          <w:sz w:val="22"/>
        </w:rPr>
      </w:pPr>
      <w:r>
        <w:rPr>
          <w:sz w:val="22"/>
        </w:rPr>
        <w:t>Zvyšovat úroveň ochrany vybraných přírodních hodnot na území města, za tím účelem iniciovat </w:t>
      </w:r>
      <w:r>
        <w:rPr>
          <w:b/>
          <w:sz w:val="22"/>
        </w:rPr>
        <w:t>změny ve vyšší ochraně vybraných</w:t>
      </w:r>
      <w:r>
        <w:rPr>
          <w:b/>
          <w:spacing w:val="-2"/>
          <w:sz w:val="22"/>
        </w:rPr>
        <w:t> </w:t>
      </w:r>
      <w:r>
        <w:rPr>
          <w:b/>
          <w:sz w:val="22"/>
        </w:rPr>
        <w:t>prvků:</w:t>
      </w:r>
    </w:p>
    <w:p>
      <w:pPr>
        <w:pStyle w:val="ListParagraph"/>
        <w:numPr>
          <w:ilvl w:val="0"/>
          <w:numId w:val="2"/>
        </w:numPr>
        <w:tabs>
          <w:tab w:pos="1024" w:val="left" w:leader="none"/>
          <w:tab w:pos="1025" w:val="left" w:leader="none"/>
        </w:tabs>
        <w:spacing w:line="240" w:lineRule="auto" w:before="61" w:after="0"/>
        <w:ind w:left="1024" w:right="146" w:hanging="852"/>
        <w:jc w:val="left"/>
        <w:rPr>
          <w:sz w:val="22"/>
        </w:rPr>
      </w:pPr>
      <w:r>
        <w:rPr>
          <w:sz w:val="22"/>
        </w:rPr>
        <w:t>iniciovat registraci šesti prvků vzrostlé nelesní zeleně - lípy malolisté v kategorii VKP – zakresleno v Hlavním výkresu</w:t>
      </w:r>
      <w:r>
        <w:rPr>
          <w:spacing w:val="-3"/>
          <w:sz w:val="22"/>
        </w:rPr>
        <w:t> </w:t>
      </w:r>
      <w:r>
        <w:rPr>
          <w:sz w:val="22"/>
        </w:rPr>
        <w:t>(2).</w:t>
      </w:r>
    </w:p>
    <w:p>
      <w:pPr>
        <w:pStyle w:val="ListParagraph"/>
        <w:numPr>
          <w:ilvl w:val="0"/>
          <w:numId w:val="1"/>
        </w:numPr>
        <w:tabs>
          <w:tab w:pos="1024" w:val="left" w:leader="none"/>
          <w:tab w:pos="1025" w:val="left" w:leader="none"/>
        </w:tabs>
        <w:spacing w:line="240" w:lineRule="auto" w:before="57" w:after="0"/>
        <w:ind w:left="1024" w:right="148" w:hanging="852"/>
        <w:jc w:val="left"/>
        <w:rPr>
          <w:sz w:val="22"/>
        </w:rPr>
      </w:pPr>
      <w:r>
        <w:rPr>
          <w:sz w:val="22"/>
        </w:rPr>
        <w:t>Stabilizovat </w:t>
      </w:r>
      <w:r>
        <w:rPr>
          <w:b/>
          <w:sz w:val="22"/>
        </w:rPr>
        <w:t>územní systém ekologické stability </w:t>
      </w:r>
      <w:r>
        <w:rPr>
          <w:sz w:val="22"/>
        </w:rPr>
        <w:t>tvořený biocentry a biokoridory různého významu – zakresleno v Hlavním výkresu</w:t>
      </w:r>
      <w:r>
        <w:rPr>
          <w:spacing w:val="-2"/>
          <w:sz w:val="22"/>
        </w:rPr>
        <w:t> </w:t>
      </w:r>
      <w:r>
        <w:rPr>
          <w:sz w:val="22"/>
        </w:rPr>
        <w:t>(2),</w:t>
      </w:r>
    </w:p>
    <w:p>
      <w:pPr>
        <w:pStyle w:val="ListParagraph"/>
        <w:numPr>
          <w:ilvl w:val="0"/>
          <w:numId w:val="2"/>
        </w:numPr>
        <w:tabs>
          <w:tab w:pos="1024" w:val="left" w:leader="none"/>
          <w:tab w:pos="1025" w:val="left" w:leader="none"/>
        </w:tabs>
        <w:spacing w:line="240" w:lineRule="auto" w:before="63" w:after="0"/>
        <w:ind w:left="1024" w:right="146" w:hanging="852"/>
        <w:jc w:val="left"/>
        <w:rPr>
          <w:sz w:val="22"/>
        </w:rPr>
      </w:pPr>
      <w:r>
        <w:rPr>
          <w:sz w:val="22"/>
        </w:rPr>
        <w:t>chránit prvky ÚSES všech zdejších biogeografických významů respektováním limitů využití území v oblasti ochrany přírody a</w:t>
      </w:r>
      <w:r>
        <w:rPr>
          <w:spacing w:val="-13"/>
          <w:sz w:val="22"/>
        </w:rPr>
        <w:t> </w:t>
      </w:r>
      <w:r>
        <w:rPr>
          <w:sz w:val="22"/>
        </w:rPr>
        <w:t>krajiny,</w:t>
      </w:r>
    </w:p>
    <w:p>
      <w:pPr>
        <w:pStyle w:val="ListParagraph"/>
        <w:numPr>
          <w:ilvl w:val="0"/>
          <w:numId w:val="2"/>
        </w:numPr>
        <w:tabs>
          <w:tab w:pos="1024" w:val="left" w:leader="none"/>
          <w:tab w:pos="1025" w:val="left" w:leader="none"/>
        </w:tabs>
        <w:spacing w:line="240" w:lineRule="auto" w:before="57" w:after="0"/>
        <w:ind w:left="1024" w:right="146" w:hanging="852"/>
        <w:jc w:val="left"/>
        <w:rPr>
          <w:sz w:val="22"/>
        </w:rPr>
      </w:pPr>
      <w:r>
        <w:rPr>
          <w:sz w:val="22"/>
        </w:rPr>
        <w:t>po územní stabilizaci vytvořit z prvků ÚSES základ prostorové struktury nezastavitelných pásů pronikajících do zastavěného území z volné</w:t>
      </w:r>
      <w:r>
        <w:rPr>
          <w:spacing w:val="-5"/>
          <w:sz w:val="22"/>
        </w:rPr>
        <w:t> </w:t>
      </w:r>
      <w:r>
        <w:rPr>
          <w:sz w:val="22"/>
        </w:rPr>
        <w:t>krajiny,</w:t>
      </w:r>
    </w:p>
    <w:p>
      <w:pPr>
        <w:pStyle w:val="ListParagraph"/>
        <w:numPr>
          <w:ilvl w:val="0"/>
          <w:numId w:val="2"/>
        </w:numPr>
        <w:tabs>
          <w:tab w:pos="1024" w:val="left" w:leader="none"/>
          <w:tab w:pos="1025" w:val="left" w:leader="none"/>
        </w:tabs>
        <w:spacing w:line="240" w:lineRule="auto" w:before="59" w:after="0"/>
        <w:ind w:left="1024" w:right="150" w:hanging="852"/>
        <w:jc w:val="left"/>
        <w:rPr>
          <w:sz w:val="22"/>
        </w:rPr>
      </w:pPr>
      <w:r>
        <w:rPr>
          <w:sz w:val="22"/>
        </w:rPr>
        <w:t>prvky ÚSES využívat a rozvíjet v souladu se zásadami obecné ochrany přírody, realizovat návrhy opatření na nefunkčních prvcích</w:t>
      </w:r>
      <w:r>
        <w:rPr>
          <w:spacing w:val="-7"/>
          <w:sz w:val="22"/>
        </w:rPr>
        <w:t> </w:t>
      </w:r>
      <w:r>
        <w:rPr>
          <w:sz w:val="22"/>
        </w:rPr>
        <w:t>ÚSES.</w:t>
      </w:r>
    </w:p>
    <w:p>
      <w:pPr>
        <w:pStyle w:val="ListParagraph"/>
        <w:numPr>
          <w:ilvl w:val="0"/>
          <w:numId w:val="1"/>
        </w:numPr>
        <w:tabs>
          <w:tab w:pos="1024" w:val="left" w:leader="none"/>
          <w:tab w:pos="1025" w:val="left" w:leader="none"/>
        </w:tabs>
        <w:spacing w:line="244" w:lineRule="auto" w:before="57" w:after="0"/>
        <w:ind w:left="1024" w:right="150" w:hanging="852"/>
        <w:jc w:val="both"/>
        <w:rPr>
          <w:sz w:val="22"/>
        </w:rPr>
      </w:pPr>
      <w:r>
        <w:rPr>
          <w:sz w:val="22"/>
        </w:rPr>
        <w:t>Respektovat omezující význam území </w:t>
      </w:r>
      <w:r>
        <w:rPr>
          <w:b/>
          <w:sz w:val="22"/>
        </w:rPr>
        <w:t>Přírodního parku Ještěd </w:t>
      </w:r>
      <w:r>
        <w:rPr>
          <w:sz w:val="22"/>
        </w:rPr>
        <w:t>s ochranným režimem pro potenciální budoucí urbanizaci jihozápadní části nezastavěného území</w:t>
      </w:r>
      <w:r>
        <w:rPr>
          <w:spacing w:val="-20"/>
          <w:sz w:val="22"/>
        </w:rPr>
        <w:t> </w:t>
      </w:r>
      <w:r>
        <w:rPr>
          <w:sz w:val="22"/>
        </w:rPr>
        <w:t>města.</w:t>
      </w:r>
    </w:p>
    <w:p>
      <w:pPr>
        <w:pStyle w:val="ListParagraph"/>
        <w:numPr>
          <w:ilvl w:val="0"/>
          <w:numId w:val="1"/>
        </w:numPr>
        <w:tabs>
          <w:tab w:pos="1024" w:val="left" w:leader="none"/>
          <w:tab w:pos="1025" w:val="left" w:leader="none"/>
        </w:tabs>
        <w:spacing w:line="242" w:lineRule="auto" w:before="51" w:after="0"/>
        <w:ind w:left="1024" w:right="146" w:hanging="852"/>
        <w:jc w:val="both"/>
        <w:rPr>
          <w:sz w:val="22"/>
        </w:rPr>
      </w:pPr>
      <w:r>
        <w:rPr>
          <w:sz w:val="22"/>
        </w:rPr>
        <w:t>Vytvářet územní podmínky pro ochranu a systematické doplňování </w:t>
      </w:r>
      <w:r>
        <w:rPr>
          <w:b/>
          <w:sz w:val="22"/>
        </w:rPr>
        <w:t>vzrostlé nelesní zeleně </w:t>
      </w:r>
      <w:r>
        <w:rPr>
          <w:sz w:val="22"/>
        </w:rPr>
        <w:t>(dle zákona č. 114/92 Sb. „dřeviny rostoucí mimo les“) podél komunikací a na veřejných prostranstvích a pro adekvátní náhradní výsadbu v případě její</w:t>
      </w:r>
      <w:r>
        <w:rPr>
          <w:spacing w:val="-25"/>
          <w:sz w:val="22"/>
        </w:rPr>
        <w:t> </w:t>
      </w:r>
      <w:r>
        <w:rPr>
          <w:sz w:val="22"/>
        </w:rPr>
        <w:t>likvidace.</w:t>
      </w:r>
    </w:p>
    <w:p>
      <w:pPr>
        <w:pStyle w:val="ListParagraph"/>
        <w:numPr>
          <w:ilvl w:val="0"/>
          <w:numId w:val="1"/>
        </w:numPr>
        <w:tabs>
          <w:tab w:pos="1024" w:val="left" w:leader="none"/>
          <w:tab w:pos="1025" w:val="left" w:leader="none"/>
        </w:tabs>
        <w:spacing w:line="240" w:lineRule="auto" w:before="51" w:after="0"/>
        <w:ind w:left="1024" w:right="0" w:hanging="853"/>
        <w:jc w:val="both"/>
        <w:rPr>
          <w:sz w:val="22"/>
        </w:rPr>
      </w:pPr>
      <w:r>
        <w:rPr>
          <w:sz w:val="22"/>
        </w:rPr>
        <w:t>Ve správním území města Chrastava odborně likvidovat </w:t>
      </w:r>
      <w:r>
        <w:rPr>
          <w:b/>
          <w:sz w:val="22"/>
        </w:rPr>
        <w:t>invazní druhy</w:t>
      </w:r>
      <w:r>
        <w:rPr>
          <w:b/>
          <w:spacing w:val="-11"/>
          <w:sz w:val="22"/>
        </w:rPr>
        <w:t> </w:t>
      </w:r>
      <w:r>
        <w:rPr>
          <w:b/>
          <w:sz w:val="22"/>
        </w:rPr>
        <w:t>rostlin</w:t>
      </w:r>
      <w:r>
        <w:rPr>
          <w:sz w:val="22"/>
        </w:rPr>
        <w:t>.</w:t>
      </w:r>
    </w:p>
    <w:p>
      <w:pPr>
        <w:spacing w:after="0" w:line="240" w:lineRule="auto"/>
        <w:jc w:val="both"/>
        <w:rPr>
          <w:sz w:val="22"/>
        </w:rPr>
        <w:sectPr>
          <w:pgSz w:w="11900" w:h="16840"/>
          <w:pgMar w:header="561" w:footer="582" w:top="760" w:bottom="780" w:left="960" w:right="980"/>
        </w:sectPr>
      </w:pPr>
    </w:p>
    <w:p>
      <w:pPr>
        <w:pStyle w:val="BodyText"/>
        <w:spacing w:before="5"/>
        <w:ind w:left="0" w:firstLine="0"/>
        <w:jc w:val="left"/>
      </w:pPr>
    </w:p>
    <w:p>
      <w:pPr>
        <w:pStyle w:val="Heading3"/>
        <w:spacing w:before="101"/>
        <w:jc w:val="both"/>
      </w:pPr>
      <w:r>
        <w:rPr/>
        <w:t>ZVLÁŠTNÍ A MEZINÁRODNÍ OCHRANA PŘÍRODY A KRAJINY</w:t>
      </w:r>
    </w:p>
    <w:p>
      <w:pPr>
        <w:pStyle w:val="ListParagraph"/>
        <w:numPr>
          <w:ilvl w:val="0"/>
          <w:numId w:val="1"/>
        </w:numPr>
        <w:tabs>
          <w:tab w:pos="1024" w:val="left" w:leader="none"/>
          <w:tab w:pos="1025" w:val="left" w:leader="none"/>
        </w:tabs>
        <w:spacing w:line="240" w:lineRule="auto" w:before="61" w:after="0"/>
        <w:ind w:left="1024" w:right="0" w:hanging="853"/>
        <w:jc w:val="both"/>
        <w:rPr>
          <w:b/>
          <w:sz w:val="22"/>
        </w:rPr>
      </w:pPr>
      <w:r>
        <w:rPr>
          <w:sz w:val="22"/>
        </w:rPr>
        <w:t>Pro naplňování požadavků zvláštní ochrany přírody a krajiny se vymezují </w:t>
      </w:r>
      <w:r>
        <w:rPr>
          <w:b/>
          <w:sz w:val="22"/>
        </w:rPr>
        <w:t>plochy</w:t>
      </w:r>
      <w:r>
        <w:rPr>
          <w:b/>
          <w:spacing w:val="-21"/>
          <w:sz w:val="22"/>
        </w:rPr>
        <w:t> </w:t>
      </w:r>
      <w:r>
        <w:rPr>
          <w:b/>
          <w:sz w:val="22"/>
        </w:rPr>
        <w:t>přírodní</w:t>
      </w:r>
    </w:p>
    <w:p>
      <w:pPr>
        <w:pStyle w:val="BodyText"/>
        <w:spacing w:before="2"/>
        <w:ind w:firstLine="0"/>
      </w:pPr>
      <w:r>
        <w:rPr/>
        <w:t>lesní a plochy přírodní nelesní (N).</w:t>
      </w:r>
    </w:p>
    <w:p>
      <w:pPr>
        <w:pStyle w:val="ListParagraph"/>
        <w:numPr>
          <w:ilvl w:val="0"/>
          <w:numId w:val="1"/>
        </w:numPr>
        <w:tabs>
          <w:tab w:pos="1024" w:val="left" w:leader="none"/>
          <w:tab w:pos="1025" w:val="left" w:leader="none"/>
        </w:tabs>
        <w:spacing w:line="240" w:lineRule="auto" w:before="59" w:after="0"/>
        <w:ind w:left="1024" w:right="0" w:hanging="853"/>
        <w:jc w:val="both"/>
        <w:rPr>
          <w:sz w:val="22"/>
        </w:rPr>
      </w:pPr>
      <w:r>
        <w:rPr>
          <w:sz w:val="22"/>
        </w:rPr>
        <w:t>Respektovat krajinotvorný význam </w:t>
      </w:r>
      <w:r>
        <w:rPr>
          <w:b/>
          <w:sz w:val="22"/>
        </w:rPr>
        <w:t>maloplošně zvláště chráněných</w:t>
      </w:r>
      <w:r>
        <w:rPr>
          <w:b/>
          <w:spacing w:val="-9"/>
          <w:sz w:val="22"/>
        </w:rPr>
        <w:t> </w:t>
      </w:r>
      <w:r>
        <w:rPr>
          <w:b/>
          <w:sz w:val="22"/>
        </w:rPr>
        <w:t>území</w:t>
      </w:r>
      <w:r>
        <w:rPr>
          <w:sz w:val="22"/>
        </w:rPr>
        <w:t>:</w:t>
      </w:r>
    </w:p>
    <w:p>
      <w:pPr>
        <w:pStyle w:val="ListParagraph"/>
        <w:numPr>
          <w:ilvl w:val="0"/>
          <w:numId w:val="2"/>
        </w:numPr>
        <w:tabs>
          <w:tab w:pos="1024" w:val="left" w:leader="none"/>
          <w:tab w:pos="1025" w:val="left" w:leader="none"/>
        </w:tabs>
        <w:spacing w:line="240" w:lineRule="auto" w:before="61" w:after="0"/>
        <w:ind w:left="1024" w:right="0" w:hanging="853"/>
        <w:jc w:val="both"/>
        <w:rPr>
          <w:sz w:val="22"/>
        </w:rPr>
      </w:pPr>
      <w:r>
        <w:rPr>
          <w:sz w:val="22"/>
        </w:rPr>
        <w:t>přírodní rezervace Dlouhá hora vč. vymezeného ochranného</w:t>
      </w:r>
      <w:r>
        <w:rPr>
          <w:spacing w:val="-9"/>
          <w:sz w:val="22"/>
        </w:rPr>
        <w:t> </w:t>
      </w:r>
      <w:r>
        <w:rPr>
          <w:sz w:val="22"/>
        </w:rPr>
        <w:t>pásma.</w:t>
      </w:r>
    </w:p>
    <w:p>
      <w:pPr>
        <w:pStyle w:val="ListParagraph"/>
        <w:numPr>
          <w:ilvl w:val="0"/>
          <w:numId w:val="1"/>
        </w:numPr>
        <w:tabs>
          <w:tab w:pos="1024" w:val="left" w:leader="none"/>
          <w:tab w:pos="1025" w:val="left" w:leader="none"/>
        </w:tabs>
        <w:spacing w:line="240" w:lineRule="auto" w:before="58" w:after="0"/>
        <w:ind w:left="1024" w:right="144" w:hanging="853"/>
        <w:jc w:val="both"/>
        <w:rPr>
          <w:sz w:val="22"/>
        </w:rPr>
      </w:pPr>
      <w:r>
        <w:rPr>
          <w:sz w:val="22"/>
        </w:rPr>
        <w:t>Respektovat výskyt </w:t>
      </w:r>
      <w:r>
        <w:rPr>
          <w:b/>
          <w:sz w:val="22"/>
        </w:rPr>
        <w:t>zvláště chráněných druhů rostlin a živočichů </w:t>
      </w:r>
      <w:r>
        <w:rPr>
          <w:sz w:val="22"/>
        </w:rPr>
        <w:t>předpokládaný zejména ve vymezených územích V-ZCHÚ, m-ZCHÚ, provádět patřičnou údržbu travnatých partií na nezemědělských i zemědělských pozemcích v těchto</w:t>
      </w:r>
      <w:r>
        <w:rPr>
          <w:spacing w:val="-20"/>
          <w:sz w:val="22"/>
        </w:rPr>
        <w:t> </w:t>
      </w:r>
      <w:r>
        <w:rPr>
          <w:sz w:val="22"/>
        </w:rPr>
        <w:t>plochách.</w:t>
      </w:r>
    </w:p>
    <w:p>
      <w:pPr>
        <w:pStyle w:val="ListParagraph"/>
        <w:numPr>
          <w:ilvl w:val="0"/>
          <w:numId w:val="1"/>
        </w:numPr>
        <w:tabs>
          <w:tab w:pos="1024" w:val="left" w:leader="none"/>
          <w:tab w:pos="1025" w:val="left" w:leader="none"/>
        </w:tabs>
        <w:spacing w:line="240" w:lineRule="auto" w:before="60" w:after="0"/>
        <w:ind w:left="1024" w:right="0" w:hanging="853"/>
        <w:jc w:val="both"/>
        <w:rPr>
          <w:sz w:val="22"/>
        </w:rPr>
      </w:pPr>
      <w:r>
        <w:rPr>
          <w:sz w:val="22"/>
        </w:rPr>
        <w:t>Respektovat vyhlášený </w:t>
      </w:r>
      <w:r>
        <w:rPr>
          <w:b/>
          <w:sz w:val="22"/>
        </w:rPr>
        <w:t>památný strom </w:t>
      </w:r>
      <w:r>
        <w:rPr>
          <w:sz w:val="22"/>
        </w:rPr>
        <w:t>- liliovník tulipánokvětý na k.ú. Chrastava</w:t>
      </w:r>
      <w:r>
        <w:rPr>
          <w:spacing w:val="-17"/>
          <w:sz w:val="22"/>
        </w:rPr>
        <w:t> </w:t>
      </w:r>
      <w:r>
        <w:rPr>
          <w:sz w:val="22"/>
        </w:rPr>
        <w:t>I.</w:t>
      </w:r>
    </w:p>
    <w:p>
      <w:pPr>
        <w:pStyle w:val="Heading3"/>
        <w:spacing w:before="119"/>
        <w:jc w:val="both"/>
      </w:pPr>
      <w:r>
        <w:rPr/>
        <w:t>OSTATNÍ PŘÍRODNÍ HODNOTY</w:t>
      </w:r>
    </w:p>
    <w:p>
      <w:pPr>
        <w:pStyle w:val="ListParagraph"/>
        <w:numPr>
          <w:ilvl w:val="0"/>
          <w:numId w:val="1"/>
        </w:numPr>
        <w:tabs>
          <w:tab w:pos="1024" w:val="left" w:leader="none"/>
          <w:tab w:pos="1025" w:val="left" w:leader="none"/>
        </w:tabs>
        <w:spacing w:line="240" w:lineRule="auto" w:before="42" w:after="0"/>
        <w:ind w:left="1024" w:right="147" w:hanging="852"/>
        <w:jc w:val="both"/>
        <w:rPr>
          <w:sz w:val="22"/>
        </w:rPr>
      </w:pPr>
      <w:r>
        <w:rPr>
          <w:sz w:val="22"/>
        </w:rPr>
        <w:t>Stabilizací funkční struktury území umožnit realizaci opatření vedoucích k </w:t>
      </w:r>
      <w:r>
        <w:rPr>
          <w:b/>
          <w:sz w:val="22"/>
        </w:rPr>
        <w:t>revitalizaci krajiny</w:t>
      </w:r>
      <w:r>
        <w:rPr>
          <w:sz w:val="22"/>
        </w:rPr>
        <w:t>, posílení jejích retenčních schopností, zvětšovat rozsah vodních</w:t>
      </w:r>
      <w:r>
        <w:rPr>
          <w:spacing w:val="-8"/>
          <w:sz w:val="22"/>
        </w:rPr>
        <w:t> </w:t>
      </w:r>
      <w:r>
        <w:rPr>
          <w:sz w:val="22"/>
        </w:rPr>
        <w:t>ploch.</w:t>
      </w:r>
    </w:p>
    <w:p>
      <w:pPr>
        <w:pStyle w:val="ListParagraph"/>
        <w:numPr>
          <w:ilvl w:val="0"/>
          <w:numId w:val="1"/>
        </w:numPr>
        <w:tabs>
          <w:tab w:pos="1024" w:val="left" w:leader="none"/>
          <w:tab w:pos="1025" w:val="left" w:leader="none"/>
        </w:tabs>
        <w:spacing w:line="240" w:lineRule="auto" w:before="39" w:after="0"/>
        <w:ind w:left="1024" w:right="0" w:hanging="853"/>
        <w:jc w:val="both"/>
        <w:rPr>
          <w:sz w:val="22"/>
        </w:rPr>
      </w:pPr>
      <w:r>
        <w:rPr>
          <w:sz w:val="22"/>
        </w:rPr>
        <w:t>Zajistit </w:t>
      </w:r>
      <w:r>
        <w:rPr>
          <w:b/>
          <w:sz w:val="22"/>
        </w:rPr>
        <w:t>průchodnost </w:t>
      </w:r>
      <w:r>
        <w:rPr>
          <w:sz w:val="22"/>
        </w:rPr>
        <w:t>krajiny s využitím historické cestní</w:t>
      </w:r>
      <w:r>
        <w:rPr>
          <w:spacing w:val="-9"/>
          <w:sz w:val="22"/>
        </w:rPr>
        <w:t> </w:t>
      </w:r>
      <w:r>
        <w:rPr>
          <w:sz w:val="22"/>
        </w:rPr>
        <w:t>sítě.</w:t>
      </w:r>
    </w:p>
    <w:p>
      <w:pPr>
        <w:pStyle w:val="ListParagraph"/>
        <w:numPr>
          <w:ilvl w:val="0"/>
          <w:numId w:val="1"/>
        </w:numPr>
        <w:tabs>
          <w:tab w:pos="1024" w:val="left" w:leader="none"/>
          <w:tab w:pos="1025" w:val="left" w:leader="none"/>
        </w:tabs>
        <w:spacing w:line="240" w:lineRule="auto" w:before="39" w:after="0"/>
        <w:ind w:left="1024" w:right="146" w:hanging="852"/>
        <w:jc w:val="both"/>
        <w:rPr>
          <w:sz w:val="22"/>
        </w:rPr>
      </w:pPr>
      <w:r>
        <w:rPr>
          <w:sz w:val="22"/>
        </w:rPr>
        <w:t>Chránit a rozšiřovat plochy </w:t>
      </w:r>
      <w:r>
        <w:rPr>
          <w:b/>
          <w:sz w:val="22"/>
        </w:rPr>
        <w:t>veřejné zeleně </w:t>
      </w:r>
      <w:r>
        <w:rPr>
          <w:sz w:val="22"/>
        </w:rPr>
        <w:t>navazující na souvislé zelené pásy prostupující do zastavěného území podél svahů, komunikací a vodních</w:t>
      </w:r>
      <w:r>
        <w:rPr>
          <w:spacing w:val="-15"/>
          <w:sz w:val="22"/>
        </w:rPr>
        <w:t> </w:t>
      </w:r>
      <w:r>
        <w:rPr>
          <w:sz w:val="22"/>
        </w:rPr>
        <w:t>toků.</w:t>
      </w:r>
    </w:p>
    <w:p>
      <w:pPr>
        <w:pStyle w:val="ListParagraph"/>
        <w:numPr>
          <w:ilvl w:val="0"/>
          <w:numId w:val="1"/>
        </w:numPr>
        <w:tabs>
          <w:tab w:pos="1024" w:val="left" w:leader="none"/>
          <w:tab w:pos="1025" w:val="left" w:leader="none"/>
        </w:tabs>
        <w:spacing w:line="251" w:lineRule="exact" w:before="44" w:after="0"/>
        <w:ind w:left="1024" w:right="0" w:hanging="853"/>
        <w:jc w:val="both"/>
        <w:rPr>
          <w:sz w:val="22"/>
        </w:rPr>
      </w:pPr>
      <w:r>
        <w:rPr>
          <w:sz w:val="22"/>
        </w:rPr>
        <w:t>Usměrňováním</w:t>
      </w:r>
      <w:r>
        <w:rPr>
          <w:spacing w:val="13"/>
          <w:sz w:val="22"/>
        </w:rPr>
        <w:t> </w:t>
      </w:r>
      <w:r>
        <w:rPr>
          <w:sz w:val="22"/>
        </w:rPr>
        <w:t>rozvoje</w:t>
      </w:r>
      <w:r>
        <w:rPr>
          <w:spacing w:val="14"/>
          <w:sz w:val="22"/>
        </w:rPr>
        <w:t> </w:t>
      </w:r>
      <w:r>
        <w:rPr>
          <w:sz w:val="22"/>
        </w:rPr>
        <w:t>zastavitelných</w:t>
      </w:r>
      <w:r>
        <w:rPr>
          <w:spacing w:val="14"/>
          <w:sz w:val="22"/>
        </w:rPr>
        <w:t> </w:t>
      </w:r>
      <w:r>
        <w:rPr>
          <w:sz w:val="22"/>
        </w:rPr>
        <w:t>ploch</w:t>
      </w:r>
      <w:r>
        <w:rPr>
          <w:spacing w:val="14"/>
          <w:sz w:val="22"/>
        </w:rPr>
        <w:t> </w:t>
      </w:r>
      <w:r>
        <w:rPr>
          <w:sz w:val="22"/>
        </w:rPr>
        <w:t>v</w:t>
      </w:r>
      <w:r>
        <w:rPr>
          <w:spacing w:val="12"/>
          <w:sz w:val="22"/>
        </w:rPr>
        <w:t> </w:t>
      </w:r>
      <w:r>
        <w:rPr>
          <w:sz w:val="22"/>
        </w:rPr>
        <w:t>krajinném</w:t>
      </w:r>
      <w:r>
        <w:rPr>
          <w:spacing w:val="13"/>
          <w:sz w:val="22"/>
        </w:rPr>
        <w:t> </w:t>
      </w:r>
      <w:r>
        <w:rPr>
          <w:sz w:val="22"/>
        </w:rPr>
        <w:t>zázemí</w:t>
      </w:r>
      <w:r>
        <w:rPr>
          <w:spacing w:val="9"/>
          <w:sz w:val="22"/>
        </w:rPr>
        <w:t> </w:t>
      </w:r>
      <w:r>
        <w:rPr>
          <w:sz w:val="22"/>
        </w:rPr>
        <w:t>města</w:t>
      </w:r>
      <w:r>
        <w:rPr>
          <w:spacing w:val="12"/>
          <w:sz w:val="22"/>
        </w:rPr>
        <w:t> </w:t>
      </w:r>
      <w:r>
        <w:rPr>
          <w:sz w:val="22"/>
        </w:rPr>
        <w:t>a</w:t>
      </w:r>
      <w:r>
        <w:rPr>
          <w:spacing w:val="12"/>
          <w:sz w:val="22"/>
        </w:rPr>
        <w:t> </w:t>
      </w:r>
      <w:r>
        <w:rPr>
          <w:sz w:val="22"/>
        </w:rPr>
        <w:t>regulativy</w:t>
      </w:r>
    </w:p>
    <w:p>
      <w:pPr>
        <w:spacing w:line="251" w:lineRule="exact" w:before="0"/>
        <w:ind w:left="1024" w:right="0" w:firstLine="0"/>
        <w:jc w:val="both"/>
        <w:rPr>
          <w:b/>
          <w:sz w:val="22"/>
        </w:rPr>
      </w:pPr>
      <w:r>
        <w:rPr>
          <w:sz w:val="22"/>
        </w:rPr>
        <w:t>činností ve volné krajině chránit významné </w:t>
      </w:r>
      <w:r>
        <w:rPr>
          <w:b/>
          <w:sz w:val="22"/>
        </w:rPr>
        <w:t>přírodní masivy a pohledové horizonty,</w:t>
      </w:r>
    </w:p>
    <w:p>
      <w:pPr>
        <w:pStyle w:val="ListParagraph"/>
        <w:numPr>
          <w:ilvl w:val="0"/>
          <w:numId w:val="2"/>
        </w:numPr>
        <w:tabs>
          <w:tab w:pos="1024" w:val="left" w:leader="none"/>
          <w:tab w:pos="1025" w:val="left" w:leader="none"/>
        </w:tabs>
        <w:spacing w:line="240" w:lineRule="auto" w:before="62" w:after="0"/>
        <w:ind w:left="1024" w:right="144" w:hanging="852"/>
        <w:jc w:val="both"/>
        <w:rPr>
          <w:sz w:val="22"/>
        </w:rPr>
      </w:pPr>
      <w:r>
        <w:rPr>
          <w:sz w:val="22"/>
        </w:rPr>
        <w:t>z hlediska dálkových pohledů respektovat významné geomorfologické dominanty - masív Ještědského hřbetu s vrcholy Dlouhá hora a U tří buků, Ovčí hora, Kameniště a dominanty umožňující výhled - vrch Výhledy, Chrastavský Špičák, Dlouhý kopec, U  břízky, Vítkovský kopec, okolí Lysého vrchu a bezlesý hřeben východně od</w:t>
      </w:r>
      <w:r>
        <w:rPr>
          <w:spacing w:val="-26"/>
          <w:sz w:val="22"/>
        </w:rPr>
        <w:t> </w:t>
      </w:r>
      <w:r>
        <w:rPr>
          <w:sz w:val="22"/>
        </w:rPr>
        <w:t>Výhledů.</w:t>
      </w:r>
    </w:p>
    <w:p>
      <w:pPr>
        <w:pStyle w:val="ListParagraph"/>
        <w:numPr>
          <w:ilvl w:val="0"/>
          <w:numId w:val="1"/>
        </w:numPr>
        <w:tabs>
          <w:tab w:pos="1024" w:val="left" w:leader="none"/>
          <w:tab w:pos="1025" w:val="left" w:leader="none"/>
        </w:tabs>
        <w:spacing w:line="240" w:lineRule="auto" w:before="57" w:after="0"/>
        <w:ind w:left="1024" w:right="150" w:hanging="852"/>
        <w:jc w:val="both"/>
        <w:rPr>
          <w:sz w:val="22"/>
        </w:rPr>
      </w:pPr>
      <w:r>
        <w:rPr>
          <w:sz w:val="22"/>
        </w:rPr>
        <w:t>Při krajinářských úpravách respektovat činnosti stanovené pro jednotlivé </w:t>
      </w:r>
      <w:r>
        <w:rPr>
          <w:b/>
          <w:sz w:val="22"/>
        </w:rPr>
        <w:t>typy krajiny</w:t>
      </w:r>
      <w:r>
        <w:rPr>
          <w:sz w:val="22"/>
        </w:rPr>
        <w:t>, zohlednit zásady ochrany krajinného rázu dle jednotek krajinného</w:t>
      </w:r>
      <w:r>
        <w:rPr>
          <w:spacing w:val="-13"/>
          <w:sz w:val="22"/>
        </w:rPr>
        <w:t> </w:t>
      </w:r>
      <w:r>
        <w:rPr>
          <w:sz w:val="22"/>
        </w:rPr>
        <w:t>uspořádání.</w:t>
      </w:r>
    </w:p>
    <w:p>
      <w:pPr>
        <w:pStyle w:val="ListParagraph"/>
        <w:numPr>
          <w:ilvl w:val="0"/>
          <w:numId w:val="1"/>
        </w:numPr>
        <w:tabs>
          <w:tab w:pos="1024" w:val="left" w:leader="none"/>
          <w:tab w:pos="1025" w:val="left" w:leader="none"/>
        </w:tabs>
        <w:spacing w:line="240" w:lineRule="auto" w:before="60" w:after="0"/>
        <w:ind w:left="1024" w:right="146" w:hanging="853"/>
        <w:jc w:val="both"/>
        <w:rPr>
          <w:sz w:val="22"/>
        </w:rPr>
      </w:pPr>
      <w:r>
        <w:rPr>
          <w:sz w:val="22"/>
        </w:rPr>
        <w:t>Respektovat významné </w:t>
      </w:r>
      <w:r>
        <w:rPr>
          <w:b/>
          <w:sz w:val="22"/>
        </w:rPr>
        <w:t>vodní toky</w:t>
      </w:r>
      <w:r>
        <w:rPr>
          <w:sz w:val="22"/>
        </w:rPr>
        <w:t>, zejména Lužická Nisa a Jeřice včetně jejich stanovených záplavových</w:t>
      </w:r>
      <w:r>
        <w:rPr>
          <w:spacing w:val="-1"/>
          <w:sz w:val="22"/>
        </w:rPr>
        <w:t> </w:t>
      </w:r>
      <w:r>
        <w:rPr>
          <w:sz w:val="22"/>
        </w:rPr>
        <w:t>území</w:t>
      </w:r>
    </w:p>
    <w:p>
      <w:pPr>
        <w:pStyle w:val="ListParagraph"/>
        <w:numPr>
          <w:ilvl w:val="0"/>
          <w:numId w:val="2"/>
        </w:numPr>
        <w:tabs>
          <w:tab w:pos="1024" w:val="left" w:leader="none"/>
          <w:tab w:pos="1025" w:val="left" w:leader="none"/>
        </w:tabs>
        <w:spacing w:line="240" w:lineRule="auto" w:before="61" w:after="0"/>
        <w:ind w:left="1024" w:right="145" w:hanging="852"/>
        <w:jc w:val="both"/>
        <w:rPr>
          <w:sz w:val="22"/>
        </w:rPr>
      </w:pPr>
      <w:r>
        <w:rPr>
          <w:sz w:val="22"/>
        </w:rPr>
        <w:t>kromě protipovodňových opatření spojených s revitalizací Lužické Nisy provádět v rámci údržby stavební úpravy koryt drobných vodních toků a rekonstrukce nábřežních zdí přeložky silnice II/592 podél Jeřice a ozelenit cenné nábřežní</w:t>
      </w:r>
      <w:r>
        <w:rPr>
          <w:spacing w:val="-11"/>
          <w:sz w:val="22"/>
        </w:rPr>
        <w:t> </w:t>
      </w:r>
      <w:r>
        <w:rPr>
          <w:sz w:val="22"/>
        </w:rPr>
        <w:t>prostory,</w:t>
      </w:r>
    </w:p>
    <w:p>
      <w:pPr>
        <w:pStyle w:val="ListParagraph"/>
        <w:numPr>
          <w:ilvl w:val="0"/>
          <w:numId w:val="2"/>
        </w:numPr>
        <w:tabs>
          <w:tab w:pos="1024" w:val="left" w:leader="none"/>
          <w:tab w:pos="1025" w:val="left" w:leader="none"/>
        </w:tabs>
        <w:spacing w:line="240" w:lineRule="auto" w:before="61" w:after="0"/>
        <w:ind w:left="1024" w:right="0" w:hanging="853"/>
        <w:jc w:val="both"/>
        <w:rPr>
          <w:sz w:val="22"/>
        </w:rPr>
      </w:pPr>
      <w:r>
        <w:rPr>
          <w:sz w:val="22"/>
        </w:rPr>
        <w:t>po obnově Lučního rybníka Na Lučním potoce odkrýt potok v části Turpišovy</w:t>
      </w:r>
      <w:r>
        <w:rPr>
          <w:spacing w:val="-18"/>
          <w:sz w:val="22"/>
        </w:rPr>
        <w:t> </w:t>
      </w:r>
      <w:r>
        <w:rPr>
          <w:sz w:val="22"/>
        </w:rPr>
        <w:t>ulice.</w:t>
      </w:r>
    </w:p>
    <w:p>
      <w:pPr>
        <w:pStyle w:val="ListParagraph"/>
        <w:numPr>
          <w:ilvl w:val="0"/>
          <w:numId w:val="1"/>
        </w:numPr>
        <w:tabs>
          <w:tab w:pos="1024" w:val="left" w:leader="none"/>
          <w:tab w:pos="1025" w:val="left" w:leader="none"/>
        </w:tabs>
        <w:spacing w:line="240" w:lineRule="auto" w:before="55" w:after="0"/>
        <w:ind w:left="1024" w:right="146" w:hanging="852"/>
        <w:jc w:val="both"/>
        <w:rPr>
          <w:sz w:val="22"/>
        </w:rPr>
      </w:pPr>
      <w:r>
        <w:rPr>
          <w:sz w:val="22"/>
        </w:rPr>
        <w:t>Uvážlivě povolovat případné pěstování </w:t>
      </w:r>
      <w:r>
        <w:rPr>
          <w:b/>
          <w:sz w:val="22"/>
        </w:rPr>
        <w:t>biomasy a rychlerostoucích dřevin </w:t>
      </w:r>
      <w:r>
        <w:rPr>
          <w:sz w:val="22"/>
        </w:rPr>
        <w:t>pro energetické účely s ohledem na zájmy ochrany přírody a</w:t>
      </w:r>
      <w:r>
        <w:rPr>
          <w:spacing w:val="-13"/>
          <w:sz w:val="22"/>
        </w:rPr>
        <w:t> </w:t>
      </w:r>
      <w:r>
        <w:rPr>
          <w:sz w:val="22"/>
        </w:rPr>
        <w:t>krajiny.</w:t>
      </w:r>
    </w:p>
    <w:p>
      <w:pPr>
        <w:spacing w:after="0" w:line="240" w:lineRule="auto"/>
        <w:jc w:val="both"/>
        <w:rPr>
          <w:sz w:val="22"/>
        </w:rPr>
        <w:sectPr>
          <w:pgSz w:w="11900" w:h="16840"/>
          <w:pgMar w:header="561" w:footer="582" w:top="760" w:bottom="780" w:left="960" w:right="980"/>
        </w:sectPr>
      </w:pPr>
    </w:p>
    <w:p>
      <w:pPr>
        <w:pStyle w:val="BodyText"/>
        <w:ind w:left="0" w:firstLine="0"/>
        <w:jc w:val="left"/>
        <w:rPr>
          <w:sz w:val="20"/>
        </w:rPr>
      </w:pPr>
    </w:p>
    <w:p>
      <w:pPr>
        <w:pStyle w:val="BodyText"/>
        <w:spacing w:before="3"/>
        <w:ind w:left="0" w:firstLine="0"/>
        <w:jc w:val="left"/>
        <w:rPr>
          <w:sz w:val="27"/>
        </w:rPr>
      </w:pPr>
    </w:p>
    <w:p>
      <w:pPr>
        <w:pStyle w:val="BodyText"/>
        <w:ind w:left="144" w:firstLine="0"/>
        <w:jc w:val="left"/>
        <w:rPr>
          <w:sz w:val="20"/>
        </w:rPr>
      </w:pPr>
      <w:r>
        <w:rPr>
          <w:sz w:val="20"/>
        </w:rPr>
        <w:pict>
          <v:shape style="width:484.8pt;height:15pt;mso-position-horizontal-relative:char;mso-position-vertical-relative:line" type="#_x0000_t202" filled="true" fillcolor="#32cccc" stroked="false">
            <w10:anchorlock/>
            <v:textbox inset="0,0,0,0">
              <w:txbxContent>
                <w:p>
                  <w:pPr>
                    <w:tabs>
                      <w:tab w:pos="880" w:val="left" w:leader="none"/>
                    </w:tabs>
                    <w:spacing w:line="295" w:lineRule="exact" w:before="0"/>
                    <w:ind w:left="28" w:right="0" w:firstLine="0"/>
                    <w:jc w:val="left"/>
                    <w:rPr>
                      <w:b/>
                      <w:sz w:val="26"/>
                    </w:rPr>
                  </w:pPr>
                  <w:r>
                    <w:rPr>
                      <w:b/>
                      <w:sz w:val="26"/>
                    </w:rPr>
                    <w:t>C</w:t>
                    <w:tab/>
                    <w:t>URBANISTICKÁ KONCEPCE VČETNĚ URBANISTICKÉ</w:t>
                  </w:r>
                  <w:r>
                    <w:rPr>
                      <w:b/>
                      <w:spacing w:val="-8"/>
                      <w:sz w:val="26"/>
                    </w:rPr>
                    <w:t> </w:t>
                  </w:r>
                  <w:r>
                    <w:rPr>
                      <w:b/>
                      <w:sz w:val="26"/>
                    </w:rPr>
                    <w:t>KOMPOZICE</w:t>
                  </w:r>
                </w:p>
              </w:txbxContent>
            </v:textbox>
            <v:fill type="solid"/>
          </v:shape>
        </w:pict>
      </w:r>
      <w:r>
        <w:rPr>
          <w:sz w:val="20"/>
        </w:rPr>
      </w:r>
    </w:p>
    <w:p>
      <w:pPr>
        <w:pStyle w:val="ListParagraph"/>
        <w:numPr>
          <w:ilvl w:val="0"/>
          <w:numId w:val="1"/>
        </w:numPr>
        <w:tabs>
          <w:tab w:pos="1024" w:val="left" w:leader="none"/>
          <w:tab w:pos="1025" w:val="left" w:leader="none"/>
        </w:tabs>
        <w:spacing w:line="237" w:lineRule="auto" w:before="104" w:after="0"/>
        <w:ind w:left="1024" w:right="145" w:hanging="853"/>
        <w:jc w:val="left"/>
        <w:rPr>
          <w:sz w:val="22"/>
        </w:rPr>
      </w:pPr>
      <w:r>
        <w:rPr>
          <w:sz w:val="22"/>
        </w:rPr>
        <w:t>Urbanistická koncepce daná vymezením ploch s rozdílným způsobem využití je zakreslena zejména v </w:t>
      </w:r>
      <w:r>
        <w:rPr>
          <w:b/>
          <w:sz w:val="22"/>
        </w:rPr>
        <w:t>Hlavním výkresu</w:t>
      </w:r>
      <w:r>
        <w:rPr>
          <w:b/>
          <w:spacing w:val="-3"/>
          <w:sz w:val="22"/>
        </w:rPr>
        <w:t> </w:t>
      </w:r>
      <w:r>
        <w:rPr>
          <w:sz w:val="22"/>
        </w:rPr>
        <w:t>(2).</w:t>
      </w:r>
    </w:p>
    <w:p>
      <w:pPr>
        <w:pStyle w:val="BodyText"/>
        <w:spacing w:before="1"/>
        <w:ind w:left="0" w:firstLine="0"/>
        <w:jc w:val="left"/>
        <w:rPr>
          <w:sz w:val="14"/>
        </w:rPr>
      </w:pPr>
      <w:r>
        <w:rPr/>
        <w:pict>
          <v:shape style="position:absolute;margin-left:55.799999pt;margin-top:9.325126pt;width:484.2pt;height:14.9pt;mso-position-horizontal-relative:page;mso-position-vertical-relative:paragraph;z-index:-15725056;mso-wrap-distance-left:0;mso-wrap-distance-right:0" type="#_x0000_t202" filled="true" fillcolor="#ccffff" stroked="false">
            <v:textbox inset="0,0,0,0">
              <w:txbxContent>
                <w:p>
                  <w:pPr>
                    <w:tabs>
                      <w:tab w:pos="866" w:val="left" w:leader="none"/>
                    </w:tabs>
                    <w:spacing w:line="295" w:lineRule="exact" w:before="0"/>
                    <w:ind w:left="28" w:right="0" w:firstLine="0"/>
                    <w:jc w:val="left"/>
                    <w:rPr>
                      <w:b/>
                      <w:sz w:val="26"/>
                    </w:rPr>
                  </w:pPr>
                  <w:r>
                    <w:rPr>
                      <w:b/>
                      <w:sz w:val="26"/>
                    </w:rPr>
                    <w:t>C.1</w:t>
                    <w:tab/>
                    <w:t>URBANISTICKÁ KOMPOZICE – PROSTOROVÉ</w:t>
                  </w:r>
                  <w:r>
                    <w:rPr>
                      <w:b/>
                      <w:spacing w:val="-4"/>
                      <w:sz w:val="26"/>
                    </w:rPr>
                    <w:t> </w:t>
                  </w:r>
                  <w:r>
                    <w:rPr>
                      <w:b/>
                      <w:sz w:val="26"/>
                    </w:rPr>
                    <w:t>USPOŘÁDÁNÍ</w:t>
                  </w:r>
                </w:p>
              </w:txbxContent>
            </v:textbox>
            <v:fill type="solid"/>
            <w10:wrap type="topAndBottom"/>
          </v:shape>
        </w:pict>
      </w:r>
    </w:p>
    <w:p>
      <w:pPr>
        <w:pStyle w:val="ListParagraph"/>
        <w:numPr>
          <w:ilvl w:val="0"/>
          <w:numId w:val="1"/>
        </w:numPr>
        <w:tabs>
          <w:tab w:pos="1024" w:val="left" w:leader="none"/>
          <w:tab w:pos="1025" w:val="left" w:leader="none"/>
        </w:tabs>
        <w:spacing w:line="240" w:lineRule="auto" w:before="100" w:after="0"/>
        <w:ind w:left="1024" w:right="0" w:hanging="853"/>
        <w:jc w:val="both"/>
        <w:rPr>
          <w:sz w:val="22"/>
        </w:rPr>
      </w:pPr>
      <w:r>
        <w:rPr>
          <w:sz w:val="22"/>
        </w:rPr>
        <w:t>Respektovat základní funkční a prostorové regulativy znázorněné v </w:t>
      </w:r>
      <w:r>
        <w:rPr>
          <w:b/>
          <w:sz w:val="22"/>
        </w:rPr>
        <w:t>Hlavním výkresu</w:t>
      </w:r>
      <w:r>
        <w:rPr>
          <w:b/>
          <w:spacing w:val="-33"/>
          <w:sz w:val="22"/>
        </w:rPr>
        <w:t> </w:t>
      </w:r>
      <w:r>
        <w:rPr>
          <w:sz w:val="22"/>
        </w:rPr>
        <w:t>(2).</w:t>
      </w:r>
    </w:p>
    <w:p>
      <w:pPr>
        <w:pStyle w:val="ListParagraph"/>
        <w:numPr>
          <w:ilvl w:val="0"/>
          <w:numId w:val="1"/>
        </w:numPr>
        <w:tabs>
          <w:tab w:pos="1024" w:val="left" w:leader="none"/>
          <w:tab w:pos="1025" w:val="left" w:leader="none"/>
        </w:tabs>
        <w:spacing w:line="242" w:lineRule="auto" w:before="121" w:after="0"/>
        <w:ind w:left="1024" w:right="143" w:hanging="852"/>
        <w:jc w:val="both"/>
        <w:rPr>
          <w:sz w:val="22"/>
        </w:rPr>
      </w:pPr>
      <w:r>
        <w:rPr>
          <w:sz w:val="22"/>
        </w:rPr>
        <w:t>Rozvíjet město Chrastava jako </w:t>
      </w:r>
      <w:r>
        <w:rPr>
          <w:b/>
          <w:sz w:val="22"/>
        </w:rPr>
        <w:t>samostatný </w:t>
      </w:r>
      <w:r>
        <w:rPr>
          <w:sz w:val="22"/>
        </w:rPr>
        <w:t>souvisle urbanizovaný, ale prostorově oddělený celek s četnými funkčními vazbami na město Liberec a s </w:t>
      </w:r>
      <w:r>
        <w:rPr>
          <w:b/>
          <w:sz w:val="22"/>
        </w:rPr>
        <w:t>vyváženým </w:t>
      </w:r>
      <w:r>
        <w:rPr>
          <w:sz w:val="22"/>
        </w:rPr>
        <w:t>zastoupením urbanistických</w:t>
      </w:r>
      <w:r>
        <w:rPr>
          <w:spacing w:val="1"/>
          <w:sz w:val="22"/>
        </w:rPr>
        <w:t> </w:t>
      </w:r>
      <w:r>
        <w:rPr>
          <w:sz w:val="22"/>
        </w:rPr>
        <w:t>funkcí,</w:t>
      </w:r>
    </w:p>
    <w:p>
      <w:pPr>
        <w:pStyle w:val="ListParagraph"/>
        <w:numPr>
          <w:ilvl w:val="0"/>
          <w:numId w:val="2"/>
        </w:numPr>
        <w:tabs>
          <w:tab w:pos="1024" w:val="left" w:leader="none"/>
          <w:tab w:pos="1025" w:val="left" w:leader="none"/>
        </w:tabs>
        <w:spacing w:line="240" w:lineRule="auto" w:before="55" w:after="0"/>
        <w:ind w:left="1024" w:right="146" w:hanging="853"/>
        <w:jc w:val="both"/>
        <w:rPr>
          <w:sz w:val="22"/>
        </w:rPr>
      </w:pPr>
      <w:r>
        <w:rPr>
          <w:sz w:val="22"/>
        </w:rPr>
        <w:t>při územním rozvoji vycházet ze stávající struktury funkcí a intenzivně využívat vnitřních zdrojů území (přestavbové</w:t>
      </w:r>
      <w:r>
        <w:rPr>
          <w:spacing w:val="-3"/>
          <w:sz w:val="22"/>
        </w:rPr>
        <w:t> </w:t>
      </w:r>
      <w:r>
        <w:rPr>
          <w:sz w:val="22"/>
        </w:rPr>
        <w:t>plochy),</w:t>
      </w:r>
    </w:p>
    <w:p>
      <w:pPr>
        <w:pStyle w:val="ListParagraph"/>
        <w:numPr>
          <w:ilvl w:val="0"/>
          <w:numId w:val="2"/>
        </w:numPr>
        <w:tabs>
          <w:tab w:pos="1024" w:val="left" w:leader="none"/>
          <w:tab w:pos="1025" w:val="left" w:leader="none"/>
        </w:tabs>
        <w:spacing w:line="240" w:lineRule="auto" w:before="59" w:after="0"/>
        <w:ind w:left="1024" w:right="146" w:hanging="853"/>
        <w:jc w:val="both"/>
        <w:rPr>
          <w:sz w:val="22"/>
        </w:rPr>
      </w:pPr>
      <w:r>
        <w:rPr>
          <w:sz w:val="22"/>
        </w:rPr>
        <w:t>zachovat a rozvíjet přiměřenou promíšenost funkční struktury s těsnou vazbou bydliště – pracoviště –</w:t>
      </w:r>
      <w:r>
        <w:rPr>
          <w:spacing w:val="-2"/>
          <w:sz w:val="22"/>
        </w:rPr>
        <w:t> </w:t>
      </w:r>
      <w:r>
        <w:rPr>
          <w:sz w:val="22"/>
        </w:rPr>
        <w:t>rekreace,</w:t>
      </w:r>
    </w:p>
    <w:p>
      <w:pPr>
        <w:pStyle w:val="ListParagraph"/>
        <w:numPr>
          <w:ilvl w:val="0"/>
          <w:numId w:val="2"/>
        </w:numPr>
        <w:tabs>
          <w:tab w:pos="1024" w:val="left" w:leader="none"/>
          <w:tab w:pos="1025" w:val="left" w:leader="none"/>
        </w:tabs>
        <w:spacing w:line="240" w:lineRule="auto" w:before="60" w:after="0"/>
        <w:ind w:left="1024" w:right="145" w:hanging="853"/>
        <w:jc w:val="both"/>
        <w:rPr>
          <w:sz w:val="22"/>
        </w:rPr>
      </w:pPr>
      <w:r>
        <w:rPr>
          <w:sz w:val="22"/>
        </w:rPr>
        <w:t>při zajištění žádoucího rozvoje všech složek jádrového sídelního útvaru i okrajových sídel docílit vyváženého souladu přírodních i civilizačních</w:t>
      </w:r>
      <w:r>
        <w:rPr>
          <w:spacing w:val="-1"/>
          <w:sz w:val="22"/>
        </w:rPr>
        <w:t> </w:t>
      </w:r>
      <w:r>
        <w:rPr>
          <w:sz w:val="22"/>
        </w:rPr>
        <w:t>hodnot.</w:t>
      </w:r>
    </w:p>
    <w:p>
      <w:pPr>
        <w:pStyle w:val="ListParagraph"/>
        <w:numPr>
          <w:ilvl w:val="0"/>
          <w:numId w:val="1"/>
        </w:numPr>
        <w:tabs>
          <w:tab w:pos="1024" w:val="left" w:leader="none"/>
          <w:tab w:pos="1025" w:val="left" w:leader="none"/>
        </w:tabs>
        <w:spacing w:line="240" w:lineRule="auto" w:before="117" w:after="0"/>
        <w:ind w:left="1024" w:right="145" w:hanging="852"/>
        <w:jc w:val="both"/>
        <w:rPr>
          <w:sz w:val="22"/>
        </w:rPr>
      </w:pPr>
      <w:r>
        <w:rPr>
          <w:sz w:val="22"/>
        </w:rPr>
        <w:t>Ve volné krajině na správním území města </w:t>
      </w:r>
      <w:r>
        <w:rPr>
          <w:b/>
          <w:sz w:val="22"/>
        </w:rPr>
        <w:t>nevytvářet nová sídla nebo samoty</w:t>
      </w:r>
      <w:r>
        <w:rPr>
          <w:sz w:val="22"/>
        </w:rPr>
        <w:t>, venkovská sídla funkčně napojit na jádrový sídelní útvar, avšak prostorově nespojit, zastavěné území stávajících samot</w:t>
      </w:r>
      <w:r>
        <w:rPr>
          <w:spacing w:val="-3"/>
          <w:sz w:val="22"/>
        </w:rPr>
        <w:t> </w:t>
      </w:r>
      <w:r>
        <w:rPr>
          <w:sz w:val="22"/>
        </w:rPr>
        <w:t>nerozšiřovat.</w:t>
      </w:r>
    </w:p>
    <w:p>
      <w:pPr>
        <w:pStyle w:val="ListParagraph"/>
        <w:numPr>
          <w:ilvl w:val="0"/>
          <w:numId w:val="1"/>
        </w:numPr>
        <w:tabs>
          <w:tab w:pos="1024" w:val="left" w:leader="none"/>
          <w:tab w:pos="1025" w:val="left" w:leader="none"/>
        </w:tabs>
        <w:spacing w:line="242" w:lineRule="auto" w:before="78" w:after="0"/>
        <w:ind w:left="1024" w:right="144" w:hanging="852"/>
        <w:jc w:val="both"/>
        <w:rPr>
          <w:sz w:val="22"/>
        </w:rPr>
      </w:pPr>
      <w:r>
        <w:rPr>
          <w:sz w:val="22"/>
        </w:rPr>
        <w:t>Respektovat výrazné </w:t>
      </w:r>
      <w:r>
        <w:rPr>
          <w:b/>
          <w:sz w:val="22"/>
        </w:rPr>
        <w:t>ohraničení zastavitelného prostoru </w:t>
      </w:r>
      <w:r>
        <w:rPr>
          <w:sz w:val="22"/>
        </w:rPr>
        <w:t>města v částech navazujících na lesnatá úpatí Ještědského hřbetu, přitom definovat půdorysně pevné hranice zástavby dané vymezením zastavitelných</w:t>
      </w:r>
      <w:r>
        <w:rPr>
          <w:spacing w:val="1"/>
          <w:sz w:val="22"/>
        </w:rPr>
        <w:t> </w:t>
      </w:r>
      <w:r>
        <w:rPr>
          <w:sz w:val="22"/>
        </w:rPr>
        <w:t>ploch.</w:t>
      </w:r>
    </w:p>
    <w:p>
      <w:pPr>
        <w:pStyle w:val="ListParagraph"/>
        <w:numPr>
          <w:ilvl w:val="0"/>
          <w:numId w:val="1"/>
        </w:numPr>
        <w:tabs>
          <w:tab w:pos="1024" w:val="left" w:leader="none"/>
          <w:tab w:pos="1025" w:val="left" w:leader="none"/>
        </w:tabs>
        <w:spacing w:line="242" w:lineRule="auto" w:before="71" w:after="0"/>
        <w:ind w:left="1024" w:right="143" w:hanging="853"/>
        <w:jc w:val="both"/>
        <w:rPr>
          <w:sz w:val="22"/>
        </w:rPr>
      </w:pPr>
      <w:r>
        <w:rPr>
          <w:sz w:val="22"/>
        </w:rPr>
        <w:t>Pokračovat v poměrně </w:t>
      </w:r>
      <w:r>
        <w:rPr>
          <w:b/>
          <w:sz w:val="22"/>
        </w:rPr>
        <w:t>rovnoměrném rozvoji </w:t>
      </w:r>
      <w:r>
        <w:rPr>
          <w:sz w:val="22"/>
        </w:rPr>
        <w:t>zastavitelných ploch v jednotlivých městských částech, přitom rozlišit intenzitu rozvoje kompaktního jádrového města a rozvolněných příměstských</w:t>
      </w:r>
      <w:r>
        <w:rPr>
          <w:spacing w:val="-1"/>
          <w:sz w:val="22"/>
        </w:rPr>
        <w:t> </w:t>
      </w:r>
      <w:r>
        <w:rPr>
          <w:sz w:val="22"/>
        </w:rPr>
        <w:t>sídel.</w:t>
      </w:r>
    </w:p>
    <w:p>
      <w:pPr>
        <w:pStyle w:val="ListParagraph"/>
        <w:numPr>
          <w:ilvl w:val="0"/>
          <w:numId w:val="1"/>
        </w:numPr>
        <w:tabs>
          <w:tab w:pos="1024" w:val="left" w:leader="none"/>
          <w:tab w:pos="1025" w:val="left" w:leader="none"/>
        </w:tabs>
        <w:spacing w:line="240" w:lineRule="auto" w:before="115" w:after="0"/>
        <w:ind w:left="1024" w:right="145" w:hanging="853"/>
        <w:jc w:val="both"/>
        <w:rPr>
          <w:sz w:val="22"/>
        </w:rPr>
      </w:pPr>
      <w:r>
        <w:rPr>
          <w:sz w:val="22"/>
        </w:rPr>
        <w:t>Jasným vymezením uličních bloků i při rozvolněné zástavbě posilovat </w:t>
      </w:r>
      <w:r>
        <w:rPr>
          <w:b/>
          <w:sz w:val="22"/>
        </w:rPr>
        <w:t>diferenciaci a hierarchizaci </w:t>
      </w:r>
      <w:r>
        <w:rPr>
          <w:sz w:val="22"/>
        </w:rPr>
        <w:t>městských prostorů na veřejné, polosoukromé a</w:t>
      </w:r>
      <w:r>
        <w:rPr>
          <w:spacing w:val="-14"/>
          <w:sz w:val="22"/>
        </w:rPr>
        <w:t> </w:t>
      </w:r>
      <w:r>
        <w:rPr>
          <w:sz w:val="22"/>
        </w:rPr>
        <w:t>soukromé.</w:t>
      </w:r>
    </w:p>
    <w:p>
      <w:pPr>
        <w:pStyle w:val="BodyText"/>
        <w:ind w:left="0" w:firstLine="0"/>
        <w:jc w:val="left"/>
        <w:rPr>
          <w:sz w:val="14"/>
        </w:rPr>
      </w:pPr>
      <w:r>
        <w:rPr/>
        <w:pict>
          <v:shape style="position:absolute;margin-left:55.799999pt;margin-top:9.259129pt;width:484.2pt;height:14.9pt;mso-position-horizontal-relative:page;mso-position-vertical-relative:paragraph;z-index:-15724544;mso-wrap-distance-left:0;mso-wrap-distance-right:0" type="#_x0000_t202" filled="true" fillcolor="#ccffff" stroked="false">
            <v:textbox inset="0,0,0,0">
              <w:txbxContent>
                <w:p>
                  <w:pPr>
                    <w:tabs>
                      <w:tab w:pos="866" w:val="left" w:leader="none"/>
                    </w:tabs>
                    <w:spacing w:line="295" w:lineRule="exact" w:before="0"/>
                    <w:ind w:left="28" w:right="0" w:firstLine="0"/>
                    <w:jc w:val="left"/>
                    <w:rPr>
                      <w:b/>
                      <w:sz w:val="26"/>
                    </w:rPr>
                  </w:pPr>
                  <w:r>
                    <w:rPr>
                      <w:b/>
                      <w:sz w:val="26"/>
                    </w:rPr>
                    <w:t>C.2</w:t>
                    <w:tab/>
                    <w:t>FUNKČNÍ</w:t>
                  </w:r>
                  <w:r>
                    <w:rPr>
                      <w:b/>
                      <w:spacing w:val="1"/>
                      <w:sz w:val="26"/>
                    </w:rPr>
                    <w:t> </w:t>
                  </w:r>
                  <w:r>
                    <w:rPr>
                      <w:b/>
                      <w:sz w:val="26"/>
                    </w:rPr>
                    <w:t>USPOŘÁDÁNÍ</w:t>
                  </w:r>
                </w:p>
              </w:txbxContent>
            </v:textbox>
            <v:fill type="solid"/>
            <w10:wrap type="topAndBottom"/>
          </v:shape>
        </w:pict>
      </w:r>
    </w:p>
    <w:p>
      <w:pPr>
        <w:pStyle w:val="Heading2"/>
        <w:numPr>
          <w:ilvl w:val="2"/>
          <w:numId w:val="4"/>
        </w:numPr>
        <w:tabs>
          <w:tab w:pos="1024" w:val="left" w:leader="none"/>
          <w:tab w:pos="1025" w:val="left" w:leader="none"/>
        </w:tabs>
        <w:spacing w:line="240" w:lineRule="auto" w:before="161" w:after="0"/>
        <w:ind w:left="1024" w:right="0" w:hanging="853"/>
        <w:jc w:val="left"/>
      </w:pPr>
      <w:r>
        <w:rPr/>
        <w:t>BYDLENÍ</w:t>
      </w:r>
    </w:p>
    <w:p>
      <w:pPr>
        <w:pStyle w:val="ListParagraph"/>
        <w:numPr>
          <w:ilvl w:val="0"/>
          <w:numId w:val="1"/>
        </w:numPr>
        <w:tabs>
          <w:tab w:pos="1024" w:val="left" w:leader="none"/>
          <w:tab w:pos="1025" w:val="left" w:leader="none"/>
        </w:tabs>
        <w:spacing w:line="240" w:lineRule="auto" w:before="79" w:after="0"/>
        <w:ind w:left="1024" w:right="143" w:hanging="853"/>
        <w:jc w:val="both"/>
        <w:rPr>
          <w:sz w:val="22"/>
        </w:rPr>
      </w:pPr>
      <w:r>
        <w:rPr>
          <w:sz w:val="22"/>
        </w:rPr>
        <w:t>Potřeba nových bytů částečně pokrýt (cca 25%) budováním </w:t>
      </w:r>
      <w:r>
        <w:rPr>
          <w:b/>
          <w:sz w:val="22"/>
        </w:rPr>
        <w:t>vestaveb, nástaveb </w:t>
      </w:r>
      <w:r>
        <w:rPr>
          <w:sz w:val="22"/>
        </w:rPr>
        <w:t>a přístaveb k bytovým i rodinným domům, podporovat budování střešních nástaveb (kapacita cca 50 bj) především na sídlišti Střelecký vrch, půdní vestavby realizovat v objektech zejména v centrální části</w:t>
      </w:r>
      <w:r>
        <w:rPr>
          <w:spacing w:val="-6"/>
          <w:sz w:val="22"/>
        </w:rPr>
        <w:t> </w:t>
      </w:r>
      <w:r>
        <w:rPr>
          <w:sz w:val="22"/>
        </w:rPr>
        <w:t>města.</w:t>
      </w:r>
    </w:p>
    <w:p>
      <w:pPr>
        <w:pStyle w:val="ListParagraph"/>
        <w:numPr>
          <w:ilvl w:val="0"/>
          <w:numId w:val="1"/>
        </w:numPr>
        <w:tabs>
          <w:tab w:pos="1024" w:val="left" w:leader="none"/>
          <w:tab w:pos="1025" w:val="left" w:leader="none"/>
        </w:tabs>
        <w:spacing w:line="240" w:lineRule="auto" w:before="80" w:after="0"/>
        <w:ind w:left="1024" w:right="143" w:hanging="852"/>
        <w:jc w:val="both"/>
        <w:rPr>
          <w:sz w:val="22"/>
        </w:rPr>
      </w:pPr>
      <w:r>
        <w:rPr>
          <w:sz w:val="22"/>
        </w:rPr>
        <w:t>Výstavbu </w:t>
      </w:r>
      <w:r>
        <w:rPr>
          <w:b/>
          <w:sz w:val="22"/>
        </w:rPr>
        <w:t>vícebytových domů </w:t>
      </w:r>
      <w:r>
        <w:rPr>
          <w:sz w:val="22"/>
        </w:rPr>
        <w:t>(140 bj převážně v tzv. viladomech) směřovat převážně na plochy smíšené centrální (C) v prostoru centrální zóny, využít území soustředěných v okolí ulic Soudní, Turpišova, Bezručova, Loudátova, Hřbitovní, Družstevní, na sídlišti Střelecký vrch pro vícebytové domy rozšířit plochy bydlení</w:t>
      </w:r>
      <w:r>
        <w:rPr>
          <w:spacing w:val="-13"/>
          <w:sz w:val="22"/>
        </w:rPr>
        <w:t> </w:t>
      </w:r>
      <w:r>
        <w:rPr>
          <w:sz w:val="22"/>
        </w:rPr>
        <w:t>(B).</w:t>
      </w:r>
    </w:p>
    <w:p>
      <w:pPr>
        <w:pStyle w:val="ListParagraph"/>
        <w:numPr>
          <w:ilvl w:val="0"/>
          <w:numId w:val="1"/>
        </w:numPr>
        <w:tabs>
          <w:tab w:pos="1024" w:val="left" w:leader="none"/>
          <w:tab w:pos="1025" w:val="left" w:leader="none"/>
        </w:tabs>
        <w:spacing w:line="240" w:lineRule="auto" w:before="121" w:after="0"/>
        <w:ind w:left="1024" w:right="141" w:hanging="853"/>
        <w:jc w:val="both"/>
        <w:rPr>
          <w:sz w:val="22"/>
        </w:rPr>
      </w:pPr>
      <w:r>
        <w:rPr>
          <w:sz w:val="22"/>
        </w:rPr>
        <w:t>Revitalizovat </w:t>
      </w:r>
      <w:r>
        <w:rPr>
          <w:b/>
          <w:sz w:val="22"/>
        </w:rPr>
        <w:t>sídliště bytových domů </w:t>
      </w:r>
      <w:r>
        <w:rPr>
          <w:sz w:val="22"/>
        </w:rPr>
        <w:t>s cíli podle místních podmínek dosáhnout nižší hustoty / výšky prostorové struktury, ale i dotvoření jeho funkční a prostorové struktury novou</w:t>
      </w:r>
      <w:r>
        <w:rPr>
          <w:spacing w:val="-1"/>
          <w:sz w:val="22"/>
        </w:rPr>
        <w:t> </w:t>
      </w:r>
      <w:r>
        <w:rPr>
          <w:sz w:val="22"/>
        </w:rPr>
        <w:t>zástavbou.</w:t>
      </w:r>
    </w:p>
    <w:p>
      <w:pPr>
        <w:pStyle w:val="ListParagraph"/>
        <w:numPr>
          <w:ilvl w:val="0"/>
          <w:numId w:val="1"/>
        </w:numPr>
        <w:tabs>
          <w:tab w:pos="1024" w:val="left" w:leader="none"/>
          <w:tab w:pos="1025" w:val="left" w:leader="none"/>
        </w:tabs>
        <w:spacing w:line="242" w:lineRule="auto" w:before="79" w:after="0"/>
        <w:ind w:left="1024" w:right="143" w:hanging="853"/>
        <w:jc w:val="both"/>
        <w:rPr>
          <w:sz w:val="22"/>
        </w:rPr>
      </w:pPr>
      <w:r>
        <w:rPr>
          <w:sz w:val="22"/>
        </w:rPr>
        <w:t>Pro výstavbu </w:t>
      </w:r>
      <w:r>
        <w:rPr>
          <w:b/>
          <w:sz w:val="22"/>
        </w:rPr>
        <w:t>rodinných domů </w:t>
      </w:r>
      <w:r>
        <w:rPr>
          <w:sz w:val="22"/>
        </w:rPr>
        <w:t>využít navržené soustředěné plochy bydlení (B) na okrajích jádrového sídelního útvaru v mikroklimaticky příjemných od centra nepříliš vzdálených lokalitách zejména mezi ulicemi Bílokostelecká a Vítkovská a plochy u hřbitova a západně průtahu silnice</w:t>
      </w:r>
      <w:r>
        <w:rPr>
          <w:spacing w:val="-1"/>
          <w:sz w:val="22"/>
        </w:rPr>
        <w:t> </w:t>
      </w:r>
      <w:r>
        <w:rPr>
          <w:sz w:val="22"/>
        </w:rPr>
        <w:t>I/35,</w:t>
      </w:r>
    </w:p>
    <w:p>
      <w:pPr>
        <w:pStyle w:val="ListParagraph"/>
        <w:numPr>
          <w:ilvl w:val="0"/>
          <w:numId w:val="2"/>
        </w:numPr>
        <w:tabs>
          <w:tab w:pos="1024" w:val="left" w:leader="none"/>
          <w:tab w:pos="1025" w:val="left" w:leader="none"/>
        </w:tabs>
        <w:spacing w:line="240" w:lineRule="auto" w:before="53" w:after="0"/>
        <w:ind w:left="1024" w:right="142" w:hanging="853"/>
        <w:jc w:val="both"/>
        <w:rPr>
          <w:sz w:val="22"/>
        </w:rPr>
      </w:pPr>
      <w:r>
        <w:rPr>
          <w:sz w:val="22"/>
        </w:rPr>
        <w:t>pro výstavbu rodinných domů venkovského typu využít především proluky ve stávající zástavbě okrajových částí jádrového sídelního útvaru a ve venkovských sídlech, (Vysoká, Vítkov), kde výstavba využije potenciálu přírodního prostředí, bude respektovat charakter zástavby, krajinný ráz i další omezující prvky a bude spojena s doplněním</w:t>
      </w:r>
      <w:r>
        <w:rPr>
          <w:spacing w:val="-33"/>
          <w:sz w:val="22"/>
        </w:rPr>
        <w:t> </w:t>
      </w:r>
      <w:r>
        <w:rPr>
          <w:sz w:val="22"/>
        </w:rPr>
        <w:t>infrastruktury.</w:t>
      </w:r>
    </w:p>
    <w:p>
      <w:pPr>
        <w:spacing w:after="0" w:line="240" w:lineRule="auto"/>
        <w:jc w:val="both"/>
        <w:rPr>
          <w:sz w:val="22"/>
        </w:rPr>
        <w:sectPr>
          <w:headerReference w:type="default" r:id="rId11"/>
          <w:footerReference w:type="default" r:id="rId12"/>
          <w:pgSz w:w="11900" w:h="16840"/>
          <w:pgMar w:header="561" w:footer="582" w:top="760" w:bottom="780" w:left="960" w:right="980"/>
          <w:pgNumType w:start="12"/>
        </w:sectPr>
      </w:pPr>
    </w:p>
    <w:p>
      <w:pPr>
        <w:pStyle w:val="BodyText"/>
        <w:spacing w:before="7"/>
        <w:ind w:left="0" w:firstLine="0"/>
        <w:jc w:val="left"/>
      </w:pPr>
    </w:p>
    <w:p>
      <w:pPr>
        <w:pStyle w:val="ListParagraph"/>
        <w:numPr>
          <w:ilvl w:val="0"/>
          <w:numId w:val="1"/>
        </w:numPr>
        <w:tabs>
          <w:tab w:pos="1024" w:val="left" w:leader="none"/>
          <w:tab w:pos="1025" w:val="left" w:leader="none"/>
        </w:tabs>
        <w:spacing w:line="240" w:lineRule="auto" w:before="101" w:after="0"/>
        <w:ind w:left="1024" w:right="143" w:hanging="852"/>
        <w:jc w:val="both"/>
        <w:rPr>
          <w:sz w:val="22"/>
        </w:rPr>
      </w:pPr>
      <w:r>
        <w:rPr>
          <w:sz w:val="22"/>
        </w:rPr>
        <w:t>Spojení bydlení s různorodými podnikatelskými aktivitami nerušícími pohodu bydlení umožnit v plochách smíšených centrálních (C) a plochách smíšených aktivit (A) po obou stranách ulice</w:t>
      </w:r>
      <w:r>
        <w:rPr>
          <w:spacing w:val="-3"/>
          <w:sz w:val="22"/>
        </w:rPr>
        <w:t> </w:t>
      </w:r>
      <w:r>
        <w:rPr>
          <w:sz w:val="22"/>
        </w:rPr>
        <w:t>Nádražní.</w:t>
      </w:r>
    </w:p>
    <w:p>
      <w:pPr>
        <w:pStyle w:val="ListParagraph"/>
        <w:numPr>
          <w:ilvl w:val="0"/>
          <w:numId w:val="1"/>
        </w:numPr>
        <w:tabs>
          <w:tab w:pos="1024" w:val="left" w:leader="none"/>
          <w:tab w:pos="1025" w:val="left" w:leader="none"/>
        </w:tabs>
        <w:spacing w:line="240" w:lineRule="auto" w:before="122" w:after="0"/>
        <w:ind w:left="1024" w:right="145" w:hanging="853"/>
        <w:jc w:val="both"/>
        <w:rPr>
          <w:sz w:val="22"/>
        </w:rPr>
      </w:pPr>
      <w:r>
        <w:rPr>
          <w:sz w:val="22"/>
        </w:rPr>
        <w:t>V případě realizovatelnosti z hlediska majetkoprávních a sousedských vztahů zajišťovat rozvoj bydlení</w:t>
      </w:r>
      <w:r>
        <w:rPr>
          <w:spacing w:val="-2"/>
          <w:sz w:val="22"/>
        </w:rPr>
        <w:t> </w:t>
      </w:r>
      <w:r>
        <w:rPr>
          <w:sz w:val="22"/>
        </w:rPr>
        <w:t>přednostně:</w:t>
      </w:r>
    </w:p>
    <w:p>
      <w:pPr>
        <w:pStyle w:val="ListParagraph"/>
        <w:numPr>
          <w:ilvl w:val="0"/>
          <w:numId w:val="2"/>
        </w:numPr>
        <w:tabs>
          <w:tab w:pos="1024" w:val="left" w:leader="none"/>
          <w:tab w:pos="1025" w:val="left" w:leader="none"/>
        </w:tabs>
        <w:spacing w:line="252" w:lineRule="exact" w:before="60" w:after="0"/>
        <w:ind w:left="1024" w:right="0" w:hanging="853"/>
        <w:jc w:val="both"/>
        <w:rPr>
          <w:sz w:val="22"/>
        </w:rPr>
      </w:pPr>
      <w:r>
        <w:rPr>
          <w:sz w:val="22"/>
        </w:rPr>
        <w:t>intenzifikací</w:t>
      </w:r>
      <w:r>
        <w:rPr>
          <w:spacing w:val="29"/>
          <w:sz w:val="22"/>
        </w:rPr>
        <w:t> </w:t>
      </w:r>
      <w:r>
        <w:rPr>
          <w:sz w:val="22"/>
        </w:rPr>
        <w:t>využití</w:t>
      </w:r>
      <w:r>
        <w:rPr>
          <w:spacing w:val="30"/>
          <w:sz w:val="22"/>
        </w:rPr>
        <w:t> </w:t>
      </w:r>
      <w:r>
        <w:rPr>
          <w:sz w:val="22"/>
        </w:rPr>
        <w:t>stávajících</w:t>
      </w:r>
      <w:r>
        <w:rPr>
          <w:spacing w:val="33"/>
          <w:sz w:val="22"/>
        </w:rPr>
        <w:t> </w:t>
      </w:r>
      <w:r>
        <w:rPr>
          <w:sz w:val="22"/>
        </w:rPr>
        <w:t>objektů</w:t>
      </w:r>
      <w:r>
        <w:rPr>
          <w:spacing w:val="32"/>
          <w:sz w:val="22"/>
        </w:rPr>
        <w:t> </w:t>
      </w:r>
      <w:r>
        <w:rPr>
          <w:sz w:val="22"/>
        </w:rPr>
        <w:t>především</w:t>
      </w:r>
      <w:r>
        <w:rPr>
          <w:spacing w:val="34"/>
          <w:sz w:val="22"/>
        </w:rPr>
        <w:t> </w:t>
      </w:r>
      <w:r>
        <w:rPr>
          <w:sz w:val="22"/>
        </w:rPr>
        <w:t>v</w:t>
      </w:r>
      <w:r>
        <w:rPr>
          <w:spacing w:val="-3"/>
          <w:sz w:val="22"/>
        </w:rPr>
        <w:t> </w:t>
      </w:r>
      <w:r>
        <w:rPr>
          <w:sz w:val="22"/>
        </w:rPr>
        <w:t>centru</w:t>
      </w:r>
      <w:r>
        <w:rPr>
          <w:spacing w:val="30"/>
          <w:sz w:val="22"/>
        </w:rPr>
        <w:t> </w:t>
      </w:r>
      <w:r>
        <w:rPr>
          <w:sz w:val="22"/>
        </w:rPr>
        <w:t>města</w:t>
      </w:r>
      <w:r>
        <w:rPr>
          <w:spacing w:val="33"/>
          <w:sz w:val="22"/>
        </w:rPr>
        <w:t> </w:t>
      </w:r>
      <w:r>
        <w:rPr>
          <w:sz w:val="22"/>
        </w:rPr>
        <w:t>a</w:t>
      </w:r>
      <w:r>
        <w:rPr>
          <w:spacing w:val="31"/>
          <w:sz w:val="22"/>
        </w:rPr>
        <w:t> </w:t>
      </w:r>
      <w:r>
        <w:rPr>
          <w:sz w:val="22"/>
        </w:rPr>
        <w:t>lokálních</w:t>
      </w:r>
      <w:r>
        <w:rPr>
          <w:spacing w:val="32"/>
          <w:sz w:val="22"/>
        </w:rPr>
        <w:t> </w:t>
      </w:r>
      <w:r>
        <w:rPr>
          <w:sz w:val="22"/>
        </w:rPr>
        <w:t>centrech</w:t>
      </w:r>
      <w:r>
        <w:rPr>
          <w:spacing w:val="28"/>
          <w:sz w:val="22"/>
        </w:rPr>
        <w:t> </w:t>
      </w:r>
      <w:r>
        <w:rPr>
          <w:sz w:val="22"/>
        </w:rPr>
        <w:t>-</w:t>
      </w:r>
    </w:p>
    <w:p>
      <w:pPr>
        <w:pStyle w:val="Heading3"/>
        <w:spacing w:line="251" w:lineRule="exact" w:before="0"/>
        <w:jc w:val="both"/>
        <w:rPr>
          <w:b w:val="0"/>
        </w:rPr>
      </w:pPr>
      <w:r>
        <w:rPr/>
        <w:t>nástavby, revitalizace</w:t>
      </w:r>
      <w:r>
        <w:rPr>
          <w:b w:val="0"/>
        </w:rPr>
        <w:t>,</w:t>
      </w:r>
    </w:p>
    <w:p>
      <w:pPr>
        <w:pStyle w:val="ListParagraph"/>
        <w:numPr>
          <w:ilvl w:val="0"/>
          <w:numId w:val="2"/>
        </w:numPr>
        <w:tabs>
          <w:tab w:pos="1024" w:val="left" w:leader="none"/>
          <w:tab w:pos="1025" w:val="left" w:leader="none"/>
        </w:tabs>
        <w:spacing w:line="240" w:lineRule="auto" w:before="59" w:after="0"/>
        <w:ind w:left="1024" w:right="0" w:hanging="853"/>
        <w:jc w:val="both"/>
        <w:rPr>
          <w:sz w:val="22"/>
        </w:rPr>
      </w:pPr>
      <w:r>
        <w:rPr>
          <w:sz w:val="22"/>
        </w:rPr>
        <w:t>novou výstavbou </w:t>
      </w:r>
      <w:r>
        <w:rPr>
          <w:b/>
          <w:sz w:val="22"/>
        </w:rPr>
        <w:t>v prolukách </w:t>
      </w:r>
      <w:r>
        <w:rPr>
          <w:sz w:val="22"/>
        </w:rPr>
        <w:t>zastavěných</w:t>
      </w:r>
      <w:r>
        <w:rPr>
          <w:spacing w:val="-4"/>
          <w:sz w:val="22"/>
        </w:rPr>
        <w:t> </w:t>
      </w:r>
      <w:r>
        <w:rPr>
          <w:sz w:val="22"/>
        </w:rPr>
        <w:t>ploch,</w:t>
      </w:r>
    </w:p>
    <w:p>
      <w:pPr>
        <w:pStyle w:val="ListParagraph"/>
        <w:numPr>
          <w:ilvl w:val="0"/>
          <w:numId w:val="2"/>
        </w:numPr>
        <w:tabs>
          <w:tab w:pos="1024" w:val="left" w:leader="none"/>
          <w:tab w:pos="1025" w:val="left" w:leader="none"/>
        </w:tabs>
        <w:spacing w:line="240" w:lineRule="auto" w:before="61" w:after="0"/>
        <w:ind w:left="1024" w:right="0" w:hanging="853"/>
        <w:jc w:val="both"/>
        <w:rPr>
          <w:sz w:val="22"/>
        </w:rPr>
      </w:pPr>
      <w:r>
        <w:rPr>
          <w:b/>
          <w:sz w:val="22"/>
        </w:rPr>
        <w:t>přestavbou </w:t>
      </w:r>
      <w:r>
        <w:rPr>
          <w:sz w:val="22"/>
        </w:rPr>
        <w:t>zastavěných ploch ve smíšeném území navazujícím na centrum</w:t>
      </w:r>
      <w:r>
        <w:rPr>
          <w:spacing w:val="-16"/>
          <w:sz w:val="22"/>
        </w:rPr>
        <w:t> </w:t>
      </w:r>
      <w:r>
        <w:rPr>
          <w:sz w:val="22"/>
        </w:rPr>
        <w:t>města.</w:t>
      </w:r>
    </w:p>
    <w:p>
      <w:pPr>
        <w:pStyle w:val="Heading2"/>
        <w:numPr>
          <w:ilvl w:val="2"/>
          <w:numId w:val="4"/>
        </w:numPr>
        <w:tabs>
          <w:tab w:pos="1025" w:val="left" w:leader="none"/>
        </w:tabs>
        <w:spacing w:line="240" w:lineRule="auto" w:before="179" w:after="0"/>
        <w:ind w:left="1025" w:right="0" w:hanging="852"/>
        <w:jc w:val="both"/>
      </w:pPr>
      <w:r>
        <w:rPr/>
        <w:t>OBSLUŽNÉ</w:t>
      </w:r>
      <w:r>
        <w:rPr>
          <w:spacing w:val="-2"/>
        </w:rPr>
        <w:t> </w:t>
      </w:r>
      <w:r>
        <w:rPr/>
        <w:t>FUNKCE</w:t>
      </w:r>
    </w:p>
    <w:p>
      <w:pPr>
        <w:pStyle w:val="ListParagraph"/>
        <w:numPr>
          <w:ilvl w:val="0"/>
          <w:numId w:val="1"/>
        </w:numPr>
        <w:tabs>
          <w:tab w:pos="1024" w:val="left" w:leader="none"/>
          <w:tab w:pos="1026" w:val="left" w:leader="none"/>
        </w:tabs>
        <w:spacing w:line="240" w:lineRule="auto" w:before="79" w:after="0"/>
        <w:ind w:left="1025" w:right="142" w:hanging="853"/>
        <w:jc w:val="both"/>
        <w:rPr>
          <w:sz w:val="22"/>
        </w:rPr>
      </w:pPr>
      <w:r>
        <w:rPr>
          <w:sz w:val="22"/>
        </w:rPr>
        <w:t>Považovat Chrastavu nadále za těžiště přirozeného </w:t>
      </w:r>
      <w:r>
        <w:rPr>
          <w:b/>
          <w:sz w:val="22"/>
        </w:rPr>
        <w:t>spádového obvodu </w:t>
      </w:r>
      <w:r>
        <w:rPr>
          <w:sz w:val="22"/>
        </w:rPr>
        <w:t>venkovských sídel, z nichž některá byla k městu administrativně připojena (Dolní a Horní Vítkov) a další tvoří samostatné obce – Bílý Kostel nad Nisou, Nová Ves, Kryštofovo</w:t>
      </w:r>
      <w:r>
        <w:rPr>
          <w:spacing w:val="-17"/>
          <w:sz w:val="22"/>
        </w:rPr>
        <w:t> </w:t>
      </w:r>
      <w:r>
        <w:rPr>
          <w:sz w:val="22"/>
        </w:rPr>
        <w:t>Údolí.</w:t>
      </w:r>
    </w:p>
    <w:p>
      <w:pPr>
        <w:pStyle w:val="ListParagraph"/>
        <w:numPr>
          <w:ilvl w:val="0"/>
          <w:numId w:val="1"/>
        </w:numPr>
        <w:tabs>
          <w:tab w:pos="1024" w:val="left" w:leader="none"/>
          <w:tab w:pos="1026" w:val="left" w:leader="none"/>
        </w:tabs>
        <w:spacing w:line="242" w:lineRule="auto" w:before="79" w:after="0"/>
        <w:ind w:left="1025" w:right="143" w:hanging="852"/>
        <w:jc w:val="both"/>
        <w:rPr>
          <w:sz w:val="22"/>
        </w:rPr>
      </w:pPr>
      <w:r>
        <w:rPr>
          <w:sz w:val="22"/>
        </w:rPr>
        <w:t>Pro občanské vybavení </w:t>
      </w:r>
      <w:r>
        <w:rPr>
          <w:b/>
          <w:sz w:val="22"/>
        </w:rPr>
        <w:t>veřejné infrastruktury </w:t>
      </w:r>
      <w:r>
        <w:rPr>
          <w:sz w:val="22"/>
        </w:rPr>
        <w:t>využít řadu kvalitních starších objektů i rozvojových ploch zejména v rámci ploch občanského vybavení (O) a ploch smíšených centrálních (C), které budou stabilizovány nebo rozšiřovány v centru města a v lokálních centrech k posílení obsluhy okrajového a venkovského</w:t>
      </w:r>
      <w:r>
        <w:rPr>
          <w:spacing w:val="-13"/>
          <w:sz w:val="22"/>
        </w:rPr>
        <w:t> </w:t>
      </w:r>
      <w:r>
        <w:rPr>
          <w:sz w:val="22"/>
        </w:rPr>
        <w:t>osídlení,</w:t>
      </w:r>
    </w:p>
    <w:p>
      <w:pPr>
        <w:pStyle w:val="ListParagraph"/>
        <w:numPr>
          <w:ilvl w:val="0"/>
          <w:numId w:val="2"/>
        </w:numPr>
        <w:tabs>
          <w:tab w:pos="1024" w:val="left" w:leader="none"/>
          <w:tab w:pos="1026" w:val="left" w:leader="none"/>
        </w:tabs>
        <w:spacing w:line="242" w:lineRule="auto" w:before="70" w:after="0"/>
        <w:ind w:left="1025" w:right="146" w:hanging="852"/>
        <w:jc w:val="both"/>
        <w:rPr>
          <w:sz w:val="22"/>
        </w:rPr>
      </w:pPr>
      <w:r>
        <w:rPr>
          <w:sz w:val="22"/>
        </w:rPr>
        <w:t>pro </w:t>
      </w:r>
      <w:r>
        <w:rPr>
          <w:b/>
          <w:sz w:val="22"/>
        </w:rPr>
        <w:t>komerční aktivity </w:t>
      </w:r>
      <w:r>
        <w:rPr>
          <w:sz w:val="22"/>
        </w:rPr>
        <w:t>občanského vybavení využít dostatek stávajících i rozvojových ploch smíšených aktivit (A) s vazbami na hlavní silniční tahy ve</w:t>
      </w:r>
      <w:r>
        <w:rPr>
          <w:spacing w:val="-11"/>
          <w:sz w:val="22"/>
        </w:rPr>
        <w:t> </w:t>
      </w:r>
      <w:r>
        <w:rPr>
          <w:sz w:val="22"/>
        </w:rPr>
        <w:t>městě,</w:t>
      </w:r>
    </w:p>
    <w:p>
      <w:pPr>
        <w:pStyle w:val="ListParagraph"/>
        <w:numPr>
          <w:ilvl w:val="0"/>
          <w:numId w:val="2"/>
        </w:numPr>
        <w:tabs>
          <w:tab w:pos="1024" w:val="left" w:leader="none"/>
          <w:tab w:pos="1026" w:val="left" w:leader="none"/>
        </w:tabs>
        <w:spacing w:line="242" w:lineRule="auto" w:before="73" w:after="0"/>
        <w:ind w:left="1025" w:right="143" w:hanging="852"/>
        <w:jc w:val="both"/>
        <w:rPr>
          <w:sz w:val="22"/>
        </w:rPr>
      </w:pPr>
      <w:r>
        <w:rPr>
          <w:sz w:val="22"/>
        </w:rPr>
        <w:t>případné umisťování </w:t>
      </w:r>
      <w:r>
        <w:rPr>
          <w:b/>
          <w:sz w:val="22"/>
        </w:rPr>
        <w:t>kapacitních obchodních zařízení </w:t>
      </w:r>
      <w:r>
        <w:rPr>
          <w:sz w:val="22"/>
        </w:rPr>
        <w:t>povolovat mimo stávající a rozvojové plochy (A) zejména na plochách občanského vybavení-komerčního (OK), a to pouze na základě vyhodnocení dopravní a prostorové</w:t>
      </w:r>
      <w:r>
        <w:rPr>
          <w:spacing w:val="-9"/>
          <w:sz w:val="22"/>
        </w:rPr>
        <w:t> </w:t>
      </w:r>
      <w:r>
        <w:rPr>
          <w:sz w:val="22"/>
        </w:rPr>
        <w:t>zátěže,</w:t>
      </w:r>
    </w:p>
    <w:p>
      <w:pPr>
        <w:pStyle w:val="ListParagraph"/>
        <w:numPr>
          <w:ilvl w:val="0"/>
          <w:numId w:val="2"/>
        </w:numPr>
        <w:tabs>
          <w:tab w:pos="1024" w:val="left" w:leader="none"/>
          <w:tab w:pos="1026" w:val="left" w:leader="none"/>
        </w:tabs>
        <w:spacing w:line="240" w:lineRule="auto" w:before="75" w:after="0"/>
        <w:ind w:left="1025" w:right="143" w:hanging="852"/>
        <w:jc w:val="both"/>
        <w:rPr>
          <w:sz w:val="22"/>
        </w:rPr>
      </w:pPr>
      <w:r>
        <w:rPr>
          <w:sz w:val="22"/>
        </w:rPr>
        <w:t>dosáhnout flexibilního rozvoje, posílení různorodosti, územní vyváženosti a dostupnosti občanského vybavení jeho umisťováním do ploch bydlení (B) vedle hlavní obytné</w:t>
      </w:r>
      <w:r>
        <w:rPr>
          <w:spacing w:val="-32"/>
          <w:sz w:val="22"/>
        </w:rPr>
        <w:t> </w:t>
      </w:r>
      <w:r>
        <w:rPr>
          <w:sz w:val="22"/>
        </w:rPr>
        <w:t>funkce.</w:t>
      </w:r>
    </w:p>
    <w:p>
      <w:pPr>
        <w:pStyle w:val="ListParagraph"/>
        <w:numPr>
          <w:ilvl w:val="0"/>
          <w:numId w:val="1"/>
        </w:numPr>
        <w:tabs>
          <w:tab w:pos="1024" w:val="left" w:leader="none"/>
          <w:tab w:pos="1026" w:val="left" w:leader="none"/>
        </w:tabs>
        <w:spacing w:line="244" w:lineRule="auto" w:before="77" w:after="0"/>
        <w:ind w:left="1025" w:right="143" w:hanging="852"/>
        <w:jc w:val="both"/>
        <w:rPr>
          <w:sz w:val="22"/>
        </w:rPr>
      </w:pPr>
      <w:r>
        <w:rPr>
          <w:sz w:val="22"/>
        </w:rPr>
        <w:t>Vedle stabilizovaného těžiště města na </w:t>
      </w:r>
      <w:r>
        <w:rPr>
          <w:b/>
          <w:sz w:val="22"/>
        </w:rPr>
        <w:t>náměstí 1. máje </w:t>
      </w:r>
      <w:r>
        <w:rPr>
          <w:sz w:val="22"/>
        </w:rPr>
        <w:t>provést rozsáhlou přestavbu chaotické západní části městského centra od průtahu silnice I/35 k nádraží</w:t>
      </w:r>
      <w:r>
        <w:rPr>
          <w:spacing w:val="-23"/>
          <w:sz w:val="22"/>
        </w:rPr>
        <w:t> </w:t>
      </w:r>
      <w:r>
        <w:rPr>
          <w:sz w:val="22"/>
        </w:rPr>
        <w:t>ČD,</w:t>
      </w:r>
    </w:p>
    <w:p>
      <w:pPr>
        <w:pStyle w:val="ListParagraph"/>
        <w:numPr>
          <w:ilvl w:val="0"/>
          <w:numId w:val="2"/>
        </w:numPr>
        <w:tabs>
          <w:tab w:pos="1024" w:val="left" w:leader="none"/>
          <w:tab w:pos="1026" w:val="left" w:leader="none"/>
        </w:tabs>
        <w:spacing w:line="240" w:lineRule="auto" w:before="69" w:after="0"/>
        <w:ind w:left="1025" w:right="143" w:hanging="852"/>
        <w:jc w:val="both"/>
        <w:rPr>
          <w:sz w:val="22"/>
        </w:rPr>
      </w:pPr>
      <w:r>
        <w:rPr>
          <w:sz w:val="22"/>
        </w:rPr>
        <w:t>zatraktivnit lokální centrum u </w:t>
      </w:r>
      <w:r>
        <w:rPr>
          <w:b/>
          <w:sz w:val="22"/>
        </w:rPr>
        <w:t>nádraží ČD</w:t>
      </w:r>
      <w:r>
        <w:rPr>
          <w:sz w:val="22"/>
        </w:rPr>
        <w:t>, vytvořit nové centrum u průtahu silnice I/35 a oživit ulici Nádražní jako hlavní trasu mezi náměstím a nádražím ČD a tím posílit význam železniční trati pro</w:t>
      </w:r>
      <w:r>
        <w:rPr>
          <w:spacing w:val="-6"/>
          <w:sz w:val="22"/>
        </w:rPr>
        <w:t> </w:t>
      </w:r>
      <w:r>
        <w:rPr>
          <w:sz w:val="22"/>
        </w:rPr>
        <w:t>město.</w:t>
      </w:r>
    </w:p>
    <w:p>
      <w:pPr>
        <w:pStyle w:val="ListParagraph"/>
        <w:numPr>
          <w:ilvl w:val="0"/>
          <w:numId w:val="1"/>
        </w:numPr>
        <w:tabs>
          <w:tab w:pos="1024" w:val="left" w:leader="none"/>
          <w:tab w:pos="1026" w:val="left" w:leader="none"/>
        </w:tabs>
        <w:spacing w:line="240" w:lineRule="auto" w:before="80" w:after="0"/>
        <w:ind w:left="1025" w:right="0" w:hanging="853"/>
        <w:jc w:val="both"/>
        <w:rPr>
          <w:sz w:val="22"/>
        </w:rPr>
      </w:pPr>
      <w:r>
        <w:rPr>
          <w:sz w:val="22"/>
        </w:rPr>
        <w:t>V</w:t>
      </w:r>
      <w:r>
        <w:rPr>
          <w:spacing w:val="21"/>
          <w:sz w:val="22"/>
        </w:rPr>
        <w:t> </w:t>
      </w:r>
      <w:r>
        <w:rPr>
          <w:b/>
          <w:sz w:val="22"/>
        </w:rPr>
        <w:t>Dolním</w:t>
      </w:r>
      <w:r>
        <w:rPr>
          <w:b/>
          <w:spacing w:val="23"/>
          <w:sz w:val="22"/>
        </w:rPr>
        <w:t> </w:t>
      </w:r>
      <w:r>
        <w:rPr>
          <w:b/>
          <w:sz w:val="22"/>
        </w:rPr>
        <w:t>Vítkově</w:t>
      </w:r>
      <w:r>
        <w:rPr>
          <w:b/>
          <w:spacing w:val="22"/>
          <w:sz w:val="22"/>
        </w:rPr>
        <w:t> </w:t>
      </w:r>
      <w:r>
        <w:rPr>
          <w:sz w:val="22"/>
        </w:rPr>
        <w:t>posílit</w:t>
      </w:r>
      <w:r>
        <w:rPr>
          <w:spacing w:val="24"/>
          <w:sz w:val="22"/>
        </w:rPr>
        <w:t> </w:t>
      </w:r>
      <w:r>
        <w:rPr>
          <w:sz w:val="22"/>
        </w:rPr>
        <w:t>lokální</w:t>
      </w:r>
      <w:r>
        <w:rPr>
          <w:spacing w:val="19"/>
          <w:sz w:val="22"/>
        </w:rPr>
        <w:t> </w:t>
      </w:r>
      <w:r>
        <w:rPr>
          <w:sz w:val="22"/>
        </w:rPr>
        <w:t>centrum</w:t>
      </w:r>
      <w:r>
        <w:rPr>
          <w:spacing w:val="23"/>
          <w:sz w:val="22"/>
        </w:rPr>
        <w:t> </w:t>
      </w:r>
      <w:r>
        <w:rPr>
          <w:sz w:val="22"/>
        </w:rPr>
        <w:t>výstavbou</w:t>
      </w:r>
      <w:r>
        <w:rPr>
          <w:spacing w:val="22"/>
          <w:sz w:val="22"/>
        </w:rPr>
        <w:t> </w:t>
      </w:r>
      <w:r>
        <w:rPr>
          <w:sz w:val="22"/>
        </w:rPr>
        <w:t>na</w:t>
      </w:r>
      <w:r>
        <w:rPr>
          <w:spacing w:val="22"/>
          <w:sz w:val="22"/>
        </w:rPr>
        <w:t> </w:t>
      </w:r>
      <w:r>
        <w:rPr>
          <w:sz w:val="22"/>
        </w:rPr>
        <w:t>plochách</w:t>
      </w:r>
      <w:r>
        <w:rPr>
          <w:spacing w:val="21"/>
          <w:sz w:val="22"/>
        </w:rPr>
        <w:t> </w:t>
      </w:r>
      <w:r>
        <w:rPr>
          <w:sz w:val="22"/>
        </w:rPr>
        <w:t>smíšených</w:t>
      </w:r>
      <w:r>
        <w:rPr>
          <w:spacing w:val="22"/>
          <w:sz w:val="22"/>
        </w:rPr>
        <w:t> </w:t>
      </w:r>
      <w:r>
        <w:rPr>
          <w:sz w:val="22"/>
        </w:rPr>
        <w:t>centrálních</w:t>
      </w:r>
    </w:p>
    <w:p>
      <w:pPr>
        <w:pStyle w:val="BodyText"/>
        <w:spacing w:before="4"/>
        <w:ind w:left="1025" w:right="145" w:firstLine="0"/>
      </w:pPr>
      <w:r>
        <w:rPr/>
        <w:t>(C) ve střední části sídla, pro zvýšení efektivnosti vybavení venkovských sídel podporovat jejich dosídlení.</w:t>
      </w:r>
    </w:p>
    <w:p>
      <w:pPr>
        <w:pStyle w:val="ListParagraph"/>
        <w:numPr>
          <w:ilvl w:val="0"/>
          <w:numId w:val="1"/>
        </w:numPr>
        <w:tabs>
          <w:tab w:pos="1024" w:val="left" w:leader="none"/>
          <w:tab w:pos="1026" w:val="left" w:leader="none"/>
        </w:tabs>
        <w:spacing w:line="242" w:lineRule="auto" w:before="77" w:after="0"/>
        <w:ind w:left="1025" w:right="142" w:hanging="852"/>
        <w:jc w:val="both"/>
        <w:rPr>
          <w:sz w:val="22"/>
        </w:rPr>
      </w:pPr>
      <w:r>
        <w:rPr>
          <w:sz w:val="22"/>
        </w:rPr>
        <w:t>Uvolněním od dopravy přeložkou silnice III/27050 mimo náměstí 1. máje východním směrem podstatně </w:t>
      </w:r>
      <w:r>
        <w:rPr>
          <w:b/>
          <w:sz w:val="22"/>
        </w:rPr>
        <w:t>zklidnit </w:t>
      </w:r>
      <w:r>
        <w:rPr>
          <w:sz w:val="22"/>
        </w:rPr>
        <w:t>historické centrum města, kde se setkají místní i regionální pěší a cyklistické trasy směrované z okrajových městských částí i sousedních</w:t>
      </w:r>
      <w:r>
        <w:rPr>
          <w:spacing w:val="-26"/>
          <w:sz w:val="22"/>
        </w:rPr>
        <w:t> </w:t>
      </w:r>
      <w:r>
        <w:rPr>
          <w:sz w:val="22"/>
        </w:rPr>
        <w:t>sídel,</w:t>
      </w:r>
    </w:p>
    <w:p>
      <w:pPr>
        <w:pStyle w:val="ListParagraph"/>
        <w:numPr>
          <w:ilvl w:val="0"/>
          <w:numId w:val="2"/>
        </w:numPr>
        <w:tabs>
          <w:tab w:pos="1025" w:val="left" w:leader="none"/>
          <w:tab w:pos="1026" w:val="left" w:leader="none"/>
        </w:tabs>
        <w:spacing w:line="240" w:lineRule="auto" w:before="71" w:after="0"/>
        <w:ind w:left="1025" w:right="145" w:hanging="852"/>
        <w:jc w:val="both"/>
        <w:rPr>
          <w:sz w:val="22"/>
        </w:rPr>
      </w:pPr>
      <w:r>
        <w:rPr>
          <w:b/>
          <w:sz w:val="22"/>
        </w:rPr>
        <w:t>parkování </w:t>
      </w:r>
      <w:r>
        <w:rPr>
          <w:sz w:val="22"/>
        </w:rPr>
        <w:t>návštěvníků orientovat na plochy u nového průtahu silnice II/592 u řeky Jeřice, krátkodobá a vyhrazená stání (invalidé, VIP) řešit v rámci dopravně zklidněných komunikací a veřejných parkovišť na okraji centra a na</w:t>
      </w:r>
      <w:r>
        <w:rPr>
          <w:spacing w:val="-10"/>
          <w:sz w:val="22"/>
        </w:rPr>
        <w:t> </w:t>
      </w:r>
      <w:r>
        <w:rPr>
          <w:sz w:val="22"/>
        </w:rPr>
        <w:t>náměstí.</w:t>
      </w:r>
    </w:p>
    <w:p>
      <w:pPr>
        <w:pStyle w:val="Heading2"/>
        <w:numPr>
          <w:ilvl w:val="2"/>
          <w:numId w:val="4"/>
        </w:numPr>
        <w:tabs>
          <w:tab w:pos="1026" w:val="left" w:leader="none"/>
        </w:tabs>
        <w:spacing w:line="240" w:lineRule="auto" w:before="180" w:after="0"/>
        <w:ind w:left="1025" w:right="0" w:hanging="853"/>
        <w:jc w:val="both"/>
      </w:pPr>
      <w:r>
        <w:rPr/>
        <w:t>EKONOMICKÉ</w:t>
      </w:r>
      <w:r>
        <w:rPr>
          <w:spacing w:val="3"/>
        </w:rPr>
        <w:t> </w:t>
      </w:r>
      <w:r>
        <w:rPr/>
        <w:t>AKTIVITY</w:t>
      </w:r>
    </w:p>
    <w:p>
      <w:pPr>
        <w:pStyle w:val="ListParagraph"/>
        <w:numPr>
          <w:ilvl w:val="0"/>
          <w:numId w:val="1"/>
        </w:numPr>
        <w:tabs>
          <w:tab w:pos="1025" w:val="left" w:leader="none"/>
          <w:tab w:pos="1026" w:val="left" w:leader="none"/>
        </w:tabs>
        <w:spacing w:line="240" w:lineRule="auto" w:before="82" w:after="0"/>
        <w:ind w:left="1025" w:right="142" w:hanging="852"/>
        <w:jc w:val="both"/>
        <w:rPr>
          <w:sz w:val="22"/>
        </w:rPr>
      </w:pPr>
      <w:r>
        <w:rPr>
          <w:sz w:val="22"/>
        </w:rPr>
        <w:t>V rámci ploch výroby a skladování (E) stabilizovat hlavní funkční zavlečkovaný výrobní areál na </w:t>
      </w:r>
      <w:r>
        <w:rPr>
          <w:b/>
          <w:sz w:val="22"/>
        </w:rPr>
        <w:t>západním okraji </w:t>
      </w:r>
      <w:r>
        <w:rPr>
          <w:sz w:val="22"/>
        </w:rPr>
        <w:t>zastavěného území města při trati ČD, který představuje významný potenciál pro rozvoj perspektivních ekonomických aktivit, i areály při ulicích Tovární, Lipové, Nádražní a</w:t>
      </w:r>
      <w:r>
        <w:rPr>
          <w:spacing w:val="-1"/>
          <w:sz w:val="22"/>
        </w:rPr>
        <w:t> </w:t>
      </w:r>
      <w:r>
        <w:rPr>
          <w:sz w:val="22"/>
        </w:rPr>
        <w:t>Andělohorské,</w:t>
      </w:r>
    </w:p>
    <w:p>
      <w:pPr>
        <w:pStyle w:val="ListParagraph"/>
        <w:numPr>
          <w:ilvl w:val="0"/>
          <w:numId w:val="2"/>
        </w:numPr>
        <w:tabs>
          <w:tab w:pos="1025" w:val="left" w:leader="none"/>
          <w:tab w:pos="1026" w:val="left" w:leader="none"/>
        </w:tabs>
        <w:spacing w:line="240" w:lineRule="auto" w:before="80" w:after="0"/>
        <w:ind w:left="1025" w:right="145" w:hanging="853"/>
        <w:jc w:val="both"/>
        <w:rPr>
          <w:sz w:val="22"/>
        </w:rPr>
      </w:pPr>
      <w:r>
        <w:rPr>
          <w:sz w:val="22"/>
        </w:rPr>
        <w:t>v centrální části města plochy výroby a skladování (E) nerozšiřovat, využít plošné rezervy v rámci stávajících areálů výrobních</w:t>
      </w:r>
      <w:r>
        <w:rPr>
          <w:spacing w:val="-3"/>
          <w:sz w:val="22"/>
        </w:rPr>
        <w:t> </w:t>
      </w:r>
      <w:r>
        <w:rPr>
          <w:sz w:val="22"/>
        </w:rPr>
        <w:t>firem.</w:t>
      </w:r>
    </w:p>
    <w:p>
      <w:pPr>
        <w:pStyle w:val="ListParagraph"/>
        <w:numPr>
          <w:ilvl w:val="0"/>
          <w:numId w:val="1"/>
        </w:numPr>
        <w:tabs>
          <w:tab w:pos="1025" w:val="left" w:leader="none"/>
          <w:tab w:pos="1026" w:val="left" w:leader="none"/>
        </w:tabs>
        <w:spacing w:line="242" w:lineRule="auto" w:before="76" w:after="0"/>
        <w:ind w:left="1025" w:right="142" w:hanging="852"/>
        <w:jc w:val="both"/>
        <w:rPr>
          <w:sz w:val="22"/>
        </w:rPr>
      </w:pPr>
      <w:r>
        <w:rPr>
          <w:sz w:val="22"/>
        </w:rPr>
        <w:t>Zařazením části výrobních areálů při ulici Nádražní do </w:t>
      </w:r>
      <w:r>
        <w:rPr>
          <w:b/>
          <w:sz w:val="22"/>
        </w:rPr>
        <w:t>ploch smíšených aktivit </w:t>
      </w:r>
      <w:r>
        <w:rPr>
          <w:b/>
          <w:spacing w:val="-2"/>
          <w:sz w:val="22"/>
        </w:rPr>
        <w:t>(A) </w:t>
      </w:r>
      <w:r>
        <w:rPr>
          <w:sz w:val="22"/>
        </w:rPr>
        <w:t>umožnit jejich revitalizaci i konverzi na bydlení a občanské vybavení, pro jejich využití zajistit odpovídající dopravní napojení rekonstrukcí mostu přes řeku</w:t>
      </w:r>
      <w:r>
        <w:rPr>
          <w:spacing w:val="-19"/>
          <w:sz w:val="22"/>
        </w:rPr>
        <w:t> </w:t>
      </w:r>
      <w:r>
        <w:rPr>
          <w:sz w:val="22"/>
        </w:rPr>
        <w:t>Jeřici,</w:t>
      </w:r>
    </w:p>
    <w:p>
      <w:pPr>
        <w:pStyle w:val="ListParagraph"/>
        <w:numPr>
          <w:ilvl w:val="0"/>
          <w:numId w:val="2"/>
        </w:numPr>
        <w:tabs>
          <w:tab w:pos="1025" w:val="left" w:leader="none"/>
          <w:tab w:pos="1026" w:val="left" w:leader="none"/>
        </w:tabs>
        <w:spacing w:line="240" w:lineRule="auto" w:before="76" w:after="0"/>
        <w:ind w:left="1025" w:right="146" w:hanging="852"/>
        <w:jc w:val="both"/>
        <w:rPr>
          <w:sz w:val="22"/>
        </w:rPr>
      </w:pPr>
      <w:r>
        <w:rPr>
          <w:sz w:val="22"/>
        </w:rPr>
        <w:t>na těchto plochách obecně zachovat historicky dané a v současnosti nezávadné promíšení výrobní, obslužné a obytné</w:t>
      </w:r>
      <w:r>
        <w:rPr>
          <w:spacing w:val="-4"/>
          <w:sz w:val="22"/>
        </w:rPr>
        <w:t> </w:t>
      </w:r>
      <w:r>
        <w:rPr>
          <w:sz w:val="22"/>
        </w:rPr>
        <w:t>funkce.</w:t>
      </w:r>
    </w:p>
    <w:p>
      <w:pPr>
        <w:spacing w:after="0" w:line="240" w:lineRule="auto"/>
        <w:jc w:val="both"/>
        <w:rPr>
          <w:sz w:val="22"/>
        </w:rPr>
        <w:sectPr>
          <w:pgSz w:w="11900" w:h="16840"/>
          <w:pgMar w:header="561" w:footer="582" w:top="760" w:bottom="780" w:left="960" w:right="980"/>
        </w:sectPr>
      </w:pPr>
    </w:p>
    <w:p>
      <w:pPr>
        <w:pStyle w:val="BodyText"/>
        <w:spacing w:before="4"/>
        <w:ind w:left="0" w:firstLine="0"/>
        <w:jc w:val="left"/>
      </w:pPr>
    </w:p>
    <w:p>
      <w:pPr>
        <w:pStyle w:val="ListParagraph"/>
        <w:numPr>
          <w:ilvl w:val="0"/>
          <w:numId w:val="1"/>
        </w:numPr>
        <w:tabs>
          <w:tab w:pos="1024" w:val="left" w:leader="none"/>
          <w:tab w:pos="1025" w:val="left" w:leader="none"/>
        </w:tabs>
        <w:spacing w:line="240" w:lineRule="auto" w:before="102" w:after="0"/>
        <w:ind w:left="1024" w:right="0" w:hanging="853"/>
        <w:jc w:val="both"/>
        <w:rPr>
          <w:sz w:val="22"/>
        </w:rPr>
      </w:pPr>
      <w:r>
        <w:rPr>
          <w:sz w:val="22"/>
        </w:rPr>
        <w:t>Menší </w:t>
      </w:r>
      <w:r>
        <w:rPr>
          <w:b/>
          <w:sz w:val="22"/>
        </w:rPr>
        <w:t>servisní zařízení </w:t>
      </w:r>
      <w:r>
        <w:rPr>
          <w:sz w:val="22"/>
        </w:rPr>
        <w:t>akceptovat v rámci ploch smíšených centrálních</w:t>
      </w:r>
      <w:r>
        <w:rPr>
          <w:spacing w:val="-11"/>
          <w:sz w:val="22"/>
        </w:rPr>
        <w:t> </w:t>
      </w:r>
      <w:r>
        <w:rPr>
          <w:sz w:val="22"/>
        </w:rPr>
        <w:t>(C),</w:t>
      </w:r>
    </w:p>
    <w:p>
      <w:pPr>
        <w:pStyle w:val="ListParagraph"/>
        <w:numPr>
          <w:ilvl w:val="0"/>
          <w:numId w:val="2"/>
        </w:numPr>
        <w:tabs>
          <w:tab w:pos="1024" w:val="left" w:leader="none"/>
          <w:tab w:pos="1025" w:val="left" w:leader="none"/>
        </w:tabs>
        <w:spacing w:line="240" w:lineRule="auto" w:before="83" w:after="0"/>
        <w:ind w:left="1024" w:right="144" w:hanging="852"/>
        <w:jc w:val="both"/>
        <w:rPr>
          <w:sz w:val="22"/>
        </w:rPr>
      </w:pPr>
      <w:r>
        <w:rPr>
          <w:sz w:val="22"/>
        </w:rPr>
        <w:t>posílení životaschopnosti ekonomických aktivit dosáhnout umisťováním zařízení, která nenaruší pohodu bydlení, do ploch bydlení (B) vedle hlavní obytné</w:t>
      </w:r>
      <w:r>
        <w:rPr>
          <w:spacing w:val="-16"/>
          <w:sz w:val="22"/>
        </w:rPr>
        <w:t> </w:t>
      </w:r>
      <w:r>
        <w:rPr>
          <w:sz w:val="22"/>
        </w:rPr>
        <w:t>funkce.</w:t>
      </w:r>
    </w:p>
    <w:p>
      <w:pPr>
        <w:pStyle w:val="ListParagraph"/>
        <w:numPr>
          <w:ilvl w:val="0"/>
          <w:numId w:val="1"/>
        </w:numPr>
        <w:tabs>
          <w:tab w:pos="1024" w:val="left" w:leader="none"/>
          <w:tab w:pos="1025" w:val="left" w:leader="none"/>
        </w:tabs>
        <w:spacing w:line="242" w:lineRule="auto" w:before="76" w:after="0"/>
        <w:ind w:left="1024" w:right="143" w:hanging="852"/>
        <w:jc w:val="both"/>
        <w:rPr>
          <w:sz w:val="22"/>
        </w:rPr>
      </w:pPr>
      <w:r>
        <w:rPr>
          <w:sz w:val="22"/>
        </w:rPr>
        <w:t>Ve </w:t>
      </w:r>
      <w:r>
        <w:rPr>
          <w:b/>
          <w:sz w:val="22"/>
        </w:rPr>
        <w:t>východní části </w:t>
      </w:r>
      <w:r>
        <w:rPr>
          <w:sz w:val="22"/>
        </w:rPr>
        <w:t>jádrového sídelního útvaru stabilizovat plochy výroby a skladování (E) při ulicích Frýdlantské, Družstevní, Vítkovské a Školní, plošný rozvoj mimo stávající plochy</w:t>
      </w:r>
      <w:r>
        <w:rPr>
          <w:spacing w:val="-3"/>
          <w:sz w:val="22"/>
        </w:rPr>
        <w:t> </w:t>
      </w:r>
      <w:r>
        <w:rPr>
          <w:sz w:val="22"/>
        </w:rPr>
        <w:t>nepřipouštět,</w:t>
      </w:r>
    </w:p>
    <w:p>
      <w:pPr>
        <w:pStyle w:val="ListParagraph"/>
        <w:numPr>
          <w:ilvl w:val="0"/>
          <w:numId w:val="2"/>
        </w:numPr>
        <w:tabs>
          <w:tab w:pos="1024" w:val="left" w:leader="none"/>
          <w:tab w:pos="1025" w:val="left" w:leader="none"/>
        </w:tabs>
        <w:spacing w:line="240" w:lineRule="auto" w:before="76" w:after="0"/>
        <w:ind w:left="1024" w:right="144" w:hanging="853"/>
        <w:jc w:val="both"/>
        <w:rPr>
          <w:sz w:val="22"/>
        </w:rPr>
      </w:pPr>
      <w:r>
        <w:rPr>
          <w:sz w:val="22"/>
        </w:rPr>
        <w:t>dopravní dostupnost výrobních areálů v této části města zlepšit průtahem silnice II/592 vedeným po pravém břehu</w:t>
      </w:r>
      <w:r>
        <w:rPr>
          <w:spacing w:val="3"/>
          <w:sz w:val="22"/>
        </w:rPr>
        <w:t> </w:t>
      </w:r>
      <w:r>
        <w:rPr>
          <w:sz w:val="22"/>
        </w:rPr>
        <w:t>Jeřice.</w:t>
      </w:r>
    </w:p>
    <w:p>
      <w:pPr>
        <w:pStyle w:val="ListParagraph"/>
        <w:numPr>
          <w:ilvl w:val="0"/>
          <w:numId w:val="1"/>
        </w:numPr>
        <w:tabs>
          <w:tab w:pos="1024" w:val="left" w:leader="none"/>
          <w:tab w:pos="1025" w:val="left" w:leader="none"/>
        </w:tabs>
        <w:spacing w:line="244" w:lineRule="auto" w:before="76" w:after="0"/>
        <w:ind w:left="1024" w:right="144" w:hanging="853"/>
        <w:jc w:val="both"/>
        <w:rPr>
          <w:sz w:val="22"/>
        </w:rPr>
      </w:pPr>
      <w:r>
        <w:rPr>
          <w:sz w:val="22"/>
        </w:rPr>
        <w:t>V </w:t>
      </w:r>
      <w:r>
        <w:rPr>
          <w:b/>
          <w:sz w:val="22"/>
        </w:rPr>
        <w:t>jižní části </w:t>
      </w:r>
      <w:r>
        <w:rPr>
          <w:sz w:val="22"/>
        </w:rPr>
        <w:t>města nabízet pro významné investory plochy výroby a skladování (E) v prostoru mezi silnicí I/35 a III/27052 ohraničené ochrannou</w:t>
      </w:r>
      <w:r>
        <w:rPr>
          <w:spacing w:val="-12"/>
          <w:sz w:val="22"/>
        </w:rPr>
        <w:t> </w:t>
      </w:r>
      <w:r>
        <w:rPr>
          <w:sz w:val="22"/>
        </w:rPr>
        <w:t>zelení.</w:t>
      </w:r>
    </w:p>
    <w:p>
      <w:pPr>
        <w:pStyle w:val="ListParagraph"/>
        <w:numPr>
          <w:ilvl w:val="0"/>
          <w:numId w:val="1"/>
        </w:numPr>
        <w:tabs>
          <w:tab w:pos="1024" w:val="left" w:leader="none"/>
          <w:tab w:pos="1025" w:val="left" w:leader="none"/>
        </w:tabs>
        <w:spacing w:line="242" w:lineRule="auto" w:before="70" w:after="0"/>
        <w:ind w:left="1024" w:right="145" w:hanging="852"/>
        <w:jc w:val="both"/>
        <w:rPr>
          <w:sz w:val="22"/>
        </w:rPr>
      </w:pPr>
      <w:r>
        <w:rPr>
          <w:sz w:val="22"/>
        </w:rPr>
        <w:t>V Dolním a Horním </w:t>
      </w:r>
      <w:r>
        <w:rPr>
          <w:b/>
          <w:sz w:val="22"/>
        </w:rPr>
        <w:t>Vítkově a Vysoké </w:t>
      </w:r>
      <w:r>
        <w:rPr>
          <w:sz w:val="22"/>
        </w:rPr>
        <w:t>plochy výroby a skladování (E) nerozšiřovat, podnikatelské aktivity ve výrobní sféře umisťovat v rámci ploch bydlení (B) a přizpůsobovat obytnému charakteru těchto</w:t>
      </w:r>
      <w:r>
        <w:rPr>
          <w:spacing w:val="-4"/>
          <w:sz w:val="22"/>
        </w:rPr>
        <w:t> </w:t>
      </w:r>
      <w:r>
        <w:rPr>
          <w:sz w:val="22"/>
        </w:rPr>
        <w:t>sídel.</w:t>
      </w:r>
    </w:p>
    <w:p>
      <w:pPr>
        <w:pStyle w:val="ListParagraph"/>
        <w:numPr>
          <w:ilvl w:val="0"/>
          <w:numId w:val="1"/>
        </w:numPr>
        <w:tabs>
          <w:tab w:pos="1024" w:val="left" w:leader="none"/>
          <w:tab w:pos="1025" w:val="left" w:leader="none"/>
        </w:tabs>
        <w:spacing w:line="242" w:lineRule="auto" w:before="73" w:after="0"/>
        <w:ind w:left="1024" w:right="143" w:hanging="852"/>
        <w:jc w:val="both"/>
        <w:rPr>
          <w:sz w:val="22"/>
        </w:rPr>
      </w:pPr>
      <w:r>
        <w:rPr>
          <w:sz w:val="22"/>
        </w:rPr>
        <w:t>Zvláštní pozornost věnovat opuštěným nebo málo využitým výrobním areálům - </w:t>
      </w:r>
      <w:r>
        <w:rPr>
          <w:b/>
          <w:sz w:val="22"/>
        </w:rPr>
        <w:t>brownfields</w:t>
      </w:r>
      <w:r>
        <w:rPr>
          <w:sz w:val="22"/>
        </w:rPr>
        <w:t>, přednostně je využít pro rozvoj podnikatelských aktivit a restrukturalizaci výroby při zachování kvalitních historických výrobních</w:t>
      </w:r>
      <w:r>
        <w:rPr>
          <w:spacing w:val="-8"/>
          <w:sz w:val="22"/>
        </w:rPr>
        <w:t> </w:t>
      </w:r>
      <w:r>
        <w:rPr>
          <w:sz w:val="22"/>
        </w:rPr>
        <w:t>objektů.</w:t>
      </w:r>
    </w:p>
    <w:p>
      <w:pPr>
        <w:pStyle w:val="ListParagraph"/>
        <w:numPr>
          <w:ilvl w:val="0"/>
          <w:numId w:val="1"/>
        </w:numPr>
        <w:tabs>
          <w:tab w:pos="1024" w:val="left" w:leader="none"/>
          <w:tab w:pos="1025" w:val="left" w:leader="none"/>
        </w:tabs>
        <w:spacing w:line="240" w:lineRule="auto" w:before="71" w:after="0"/>
        <w:ind w:left="1024" w:right="0" w:hanging="853"/>
        <w:jc w:val="both"/>
        <w:rPr>
          <w:sz w:val="22"/>
        </w:rPr>
      </w:pPr>
      <w:r>
        <w:rPr>
          <w:b/>
          <w:sz w:val="22"/>
        </w:rPr>
        <w:t>Zemědělskou výrobu </w:t>
      </w:r>
      <w:r>
        <w:rPr>
          <w:sz w:val="22"/>
        </w:rPr>
        <w:t>v území stabilizovat v rámci ploch výroby a skladování</w:t>
      </w:r>
      <w:r>
        <w:rPr>
          <w:spacing w:val="-20"/>
          <w:sz w:val="22"/>
        </w:rPr>
        <w:t> </w:t>
      </w:r>
      <w:r>
        <w:rPr>
          <w:sz w:val="22"/>
        </w:rPr>
        <w:t>(E),</w:t>
      </w:r>
    </w:p>
    <w:p>
      <w:pPr>
        <w:pStyle w:val="ListParagraph"/>
        <w:numPr>
          <w:ilvl w:val="0"/>
          <w:numId w:val="2"/>
        </w:numPr>
        <w:tabs>
          <w:tab w:pos="1024" w:val="left" w:leader="none"/>
          <w:tab w:pos="1025" w:val="left" w:leader="none"/>
        </w:tabs>
        <w:spacing w:line="240" w:lineRule="auto" w:before="83" w:after="0"/>
        <w:ind w:left="1024" w:right="146" w:hanging="852"/>
        <w:jc w:val="both"/>
        <w:rPr>
          <w:sz w:val="22"/>
        </w:rPr>
      </w:pPr>
      <w:r>
        <w:rPr>
          <w:sz w:val="22"/>
        </w:rPr>
        <w:t>zemědělské pozemky ve správním území města obhospodařovat ze stávajících zemědělských areálů v Dolním Vítkově, z areálu na okraji obytné zástavby jižně od Frýdlantské ulice s možností rozvoje v rámci vlastních ploch a z nově vybudovaného areálu ve</w:t>
      </w:r>
      <w:r>
        <w:rPr>
          <w:spacing w:val="-1"/>
          <w:sz w:val="22"/>
        </w:rPr>
        <w:t> </w:t>
      </w:r>
      <w:r>
        <w:rPr>
          <w:sz w:val="22"/>
        </w:rPr>
        <w:t>Vysoké,</w:t>
      </w:r>
    </w:p>
    <w:p>
      <w:pPr>
        <w:pStyle w:val="ListParagraph"/>
        <w:numPr>
          <w:ilvl w:val="0"/>
          <w:numId w:val="2"/>
        </w:numPr>
        <w:tabs>
          <w:tab w:pos="1024" w:val="left" w:leader="none"/>
          <w:tab w:pos="1025" w:val="left" w:leader="none"/>
        </w:tabs>
        <w:spacing w:line="240" w:lineRule="auto" w:before="79" w:after="0"/>
        <w:ind w:left="1024" w:right="0" w:hanging="853"/>
        <w:jc w:val="both"/>
        <w:rPr>
          <w:sz w:val="22"/>
        </w:rPr>
      </w:pPr>
      <w:r>
        <w:rPr>
          <w:sz w:val="22"/>
        </w:rPr>
        <w:t>vznik drobných rodinných farem umožnit v rámci ploch bydlení</w:t>
      </w:r>
      <w:r>
        <w:rPr>
          <w:spacing w:val="-13"/>
          <w:sz w:val="22"/>
        </w:rPr>
        <w:t> </w:t>
      </w:r>
      <w:r>
        <w:rPr>
          <w:sz w:val="22"/>
        </w:rPr>
        <w:t>(B).</w:t>
      </w:r>
    </w:p>
    <w:p>
      <w:pPr>
        <w:pStyle w:val="Heading2"/>
        <w:numPr>
          <w:ilvl w:val="2"/>
          <w:numId w:val="4"/>
        </w:numPr>
        <w:tabs>
          <w:tab w:pos="1025" w:val="left" w:leader="none"/>
        </w:tabs>
        <w:spacing w:line="240" w:lineRule="auto" w:before="177" w:after="0"/>
        <w:ind w:left="1024" w:right="0" w:hanging="853"/>
        <w:jc w:val="both"/>
      </w:pPr>
      <w:r>
        <w:rPr/>
        <w:t>SPORTOVNÍ A REKREAČNÍ AKTIVITY, CESTOVNÍ</w:t>
      </w:r>
      <w:r>
        <w:rPr>
          <w:spacing w:val="2"/>
        </w:rPr>
        <w:t> </w:t>
      </w:r>
      <w:r>
        <w:rPr/>
        <w:t>RUCH</w:t>
      </w:r>
    </w:p>
    <w:p>
      <w:pPr>
        <w:pStyle w:val="ListParagraph"/>
        <w:numPr>
          <w:ilvl w:val="0"/>
          <w:numId w:val="1"/>
        </w:numPr>
        <w:tabs>
          <w:tab w:pos="1024" w:val="left" w:leader="none"/>
          <w:tab w:pos="1025" w:val="left" w:leader="none"/>
        </w:tabs>
        <w:spacing w:line="240" w:lineRule="auto" w:before="79" w:after="0"/>
        <w:ind w:left="1024" w:right="0" w:hanging="853"/>
        <w:jc w:val="both"/>
        <w:rPr>
          <w:sz w:val="22"/>
        </w:rPr>
      </w:pPr>
      <w:r>
        <w:rPr>
          <w:sz w:val="22"/>
        </w:rPr>
        <w:t>Ve funkčním členění řešeného území nerozlišovat </w:t>
      </w:r>
      <w:r>
        <w:rPr>
          <w:b/>
          <w:sz w:val="22"/>
        </w:rPr>
        <w:t>trvalé a rekreační</w:t>
      </w:r>
      <w:r>
        <w:rPr>
          <w:b/>
          <w:spacing w:val="-17"/>
          <w:sz w:val="22"/>
        </w:rPr>
        <w:t> </w:t>
      </w:r>
      <w:r>
        <w:rPr>
          <w:sz w:val="22"/>
        </w:rPr>
        <w:t>bydlení.</w:t>
      </w:r>
    </w:p>
    <w:p>
      <w:pPr>
        <w:pStyle w:val="ListParagraph"/>
        <w:numPr>
          <w:ilvl w:val="0"/>
          <w:numId w:val="1"/>
        </w:numPr>
        <w:tabs>
          <w:tab w:pos="1024" w:val="left" w:leader="none"/>
          <w:tab w:pos="1025" w:val="left" w:leader="none"/>
        </w:tabs>
        <w:spacing w:line="240" w:lineRule="auto" w:before="122" w:after="0"/>
        <w:ind w:left="1024" w:right="148" w:hanging="853"/>
        <w:jc w:val="both"/>
        <w:rPr>
          <w:sz w:val="22"/>
        </w:rPr>
      </w:pPr>
      <w:r>
        <w:rPr>
          <w:b/>
          <w:sz w:val="22"/>
        </w:rPr>
        <w:t>Zahrádkářské a chatové osady </w:t>
      </w:r>
      <w:r>
        <w:rPr>
          <w:sz w:val="22"/>
        </w:rPr>
        <w:t>postupně integrovat do struktury zastavěných a zastavitelných ploch bydlení</w:t>
      </w:r>
      <w:r>
        <w:rPr>
          <w:spacing w:val="-4"/>
          <w:sz w:val="22"/>
        </w:rPr>
        <w:t> </w:t>
      </w:r>
      <w:r>
        <w:rPr>
          <w:sz w:val="22"/>
        </w:rPr>
        <w:t>(B),</w:t>
      </w:r>
    </w:p>
    <w:p>
      <w:pPr>
        <w:pStyle w:val="ListParagraph"/>
        <w:numPr>
          <w:ilvl w:val="0"/>
          <w:numId w:val="1"/>
        </w:numPr>
        <w:tabs>
          <w:tab w:pos="1024" w:val="left" w:leader="none"/>
          <w:tab w:pos="1025" w:val="left" w:leader="none"/>
        </w:tabs>
        <w:spacing w:line="240" w:lineRule="auto" w:before="82" w:after="0"/>
        <w:ind w:left="1024" w:right="143" w:hanging="852"/>
        <w:jc w:val="both"/>
        <w:rPr>
          <w:b/>
          <w:sz w:val="22"/>
        </w:rPr>
      </w:pPr>
      <w:r>
        <w:rPr>
          <w:sz w:val="22"/>
        </w:rPr>
        <w:t>ucelené plochy osad s jednoznačnou rekreační funkcí, kde v minulosti nebyl zájem o trvalé bydlení, územně stabilizovat na okraji zastavěného území jádrového města jako </w:t>
      </w:r>
      <w:r>
        <w:rPr>
          <w:b/>
          <w:sz w:val="22"/>
        </w:rPr>
        <w:t>plochy rekreace</w:t>
      </w:r>
      <w:r>
        <w:rPr>
          <w:b/>
          <w:spacing w:val="-5"/>
          <w:sz w:val="22"/>
        </w:rPr>
        <w:t> </w:t>
      </w:r>
      <w:r>
        <w:rPr>
          <w:b/>
          <w:sz w:val="22"/>
        </w:rPr>
        <w:t>(R),</w:t>
      </w:r>
    </w:p>
    <w:p>
      <w:pPr>
        <w:pStyle w:val="ListParagraph"/>
        <w:numPr>
          <w:ilvl w:val="0"/>
          <w:numId w:val="2"/>
        </w:numPr>
        <w:tabs>
          <w:tab w:pos="1024" w:val="left" w:leader="none"/>
          <w:tab w:pos="1025" w:val="left" w:leader="none"/>
        </w:tabs>
        <w:spacing w:line="240" w:lineRule="auto" w:before="78" w:after="0"/>
        <w:ind w:left="1024" w:right="146" w:hanging="853"/>
        <w:jc w:val="both"/>
        <w:rPr>
          <w:sz w:val="22"/>
        </w:rPr>
      </w:pPr>
      <w:r>
        <w:rPr>
          <w:sz w:val="22"/>
        </w:rPr>
        <w:t>v místech, kde narušují možnost dotvoření zelené kostry města a odtokové poměry však podnikat kroky k jejich</w:t>
      </w:r>
      <w:r>
        <w:rPr>
          <w:spacing w:val="-9"/>
          <w:sz w:val="22"/>
        </w:rPr>
        <w:t> </w:t>
      </w:r>
      <w:r>
        <w:rPr>
          <w:sz w:val="22"/>
        </w:rPr>
        <w:t>odstranění.</w:t>
      </w:r>
    </w:p>
    <w:p>
      <w:pPr>
        <w:pStyle w:val="ListParagraph"/>
        <w:numPr>
          <w:ilvl w:val="0"/>
          <w:numId w:val="1"/>
        </w:numPr>
        <w:tabs>
          <w:tab w:pos="1024" w:val="left" w:leader="none"/>
          <w:tab w:pos="1025" w:val="left" w:leader="none"/>
        </w:tabs>
        <w:spacing w:line="242" w:lineRule="auto" w:before="77" w:after="0"/>
        <w:ind w:left="1024" w:right="141" w:hanging="853"/>
        <w:jc w:val="both"/>
        <w:rPr>
          <w:sz w:val="22"/>
        </w:rPr>
      </w:pPr>
      <w:r>
        <w:rPr>
          <w:sz w:val="22"/>
        </w:rPr>
        <w:t>Stabilizovat stávající </w:t>
      </w:r>
      <w:r>
        <w:rPr>
          <w:b/>
          <w:sz w:val="22"/>
        </w:rPr>
        <w:t>sportovní areály </w:t>
      </w:r>
      <w:r>
        <w:rPr>
          <w:sz w:val="22"/>
        </w:rPr>
        <w:t>v rámci ploch občanského vybavení-sportu (S) v centrální zóně, u koupaliště a ve Školní ulici, obnovit menší sportovní plochy v Horním Vítkově a Andělské</w:t>
      </w:r>
      <w:r>
        <w:rPr>
          <w:spacing w:val="-2"/>
          <w:sz w:val="22"/>
        </w:rPr>
        <w:t> </w:t>
      </w:r>
      <w:r>
        <w:rPr>
          <w:sz w:val="22"/>
        </w:rPr>
        <w:t>Hoře,</w:t>
      </w:r>
    </w:p>
    <w:p>
      <w:pPr>
        <w:pStyle w:val="ListParagraph"/>
        <w:numPr>
          <w:ilvl w:val="0"/>
          <w:numId w:val="2"/>
        </w:numPr>
        <w:tabs>
          <w:tab w:pos="1024" w:val="left" w:leader="none"/>
          <w:tab w:pos="1025" w:val="left" w:leader="none"/>
        </w:tabs>
        <w:spacing w:line="240" w:lineRule="auto" w:before="76" w:after="0"/>
        <w:ind w:left="1024" w:right="0" w:hanging="853"/>
        <w:jc w:val="both"/>
        <w:rPr>
          <w:sz w:val="22"/>
        </w:rPr>
      </w:pPr>
      <w:r>
        <w:rPr>
          <w:sz w:val="22"/>
        </w:rPr>
        <w:t>na východním okraji centrální zóny zachovat plochu</w:t>
      </w:r>
      <w:r>
        <w:rPr>
          <w:spacing w:val="-1"/>
          <w:sz w:val="22"/>
        </w:rPr>
        <w:t> </w:t>
      </w:r>
      <w:r>
        <w:rPr>
          <w:sz w:val="22"/>
        </w:rPr>
        <w:t>střelnice.</w:t>
      </w:r>
    </w:p>
    <w:p>
      <w:pPr>
        <w:pStyle w:val="ListParagraph"/>
        <w:numPr>
          <w:ilvl w:val="0"/>
          <w:numId w:val="1"/>
        </w:numPr>
        <w:tabs>
          <w:tab w:pos="1024" w:val="left" w:leader="none"/>
          <w:tab w:pos="1025" w:val="left" w:leader="none"/>
        </w:tabs>
        <w:spacing w:line="240" w:lineRule="auto" w:before="77" w:after="0"/>
        <w:ind w:left="1024" w:right="143" w:hanging="852"/>
        <w:jc w:val="both"/>
        <w:rPr>
          <w:sz w:val="22"/>
        </w:rPr>
      </w:pPr>
      <w:r>
        <w:rPr>
          <w:sz w:val="22"/>
        </w:rPr>
        <w:t>Sportovně rekreační plochy </w:t>
      </w:r>
      <w:r>
        <w:rPr>
          <w:b/>
          <w:sz w:val="22"/>
        </w:rPr>
        <w:t>rozvíjet </w:t>
      </w:r>
      <w:r>
        <w:rPr>
          <w:sz w:val="22"/>
        </w:rPr>
        <w:t>v centrální zóně (bazén, atletická dráha), u koupaliště (víceúčelové hřiště, autokemping) a na sídlišti Střelecký vrch ve vazbě na revitalizované rybníky a příměstský rekreační</w:t>
      </w:r>
      <w:r>
        <w:rPr>
          <w:spacing w:val="-8"/>
          <w:sz w:val="22"/>
        </w:rPr>
        <w:t> </w:t>
      </w:r>
      <w:r>
        <w:rPr>
          <w:sz w:val="22"/>
        </w:rPr>
        <w:t>les,</w:t>
      </w:r>
    </w:p>
    <w:p>
      <w:pPr>
        <w:pStyle w:val="ListParagraph"/>
        <w:numPr>
          <w:ilvl w:val="0"/>
          <w:numId w:val="2"/>
        </w:numPr>
        <w:tabs>
          <w:tab w:pos="1024" w:val="left" w:leader="none"/>
          <w:tab w:pos="1025" w:val="left" w:leader="none"/>
        </w:tabs>
        <w:spacing w:line="253" w:lineRule="exact" w:before="81" w:after="0"/>
        <w:ind w:left="1024" w:right="0" w:hanging="853"/>
        <w:jc w:val="both"/>
        <w:rPr>
          <w:sz w:val="22"/>
        </w:rPr>
      </w:pPr>
      <w:r>
        <w:rPr>
          <w:sz w:val="22"/>
        </w:rPr>
        <w:t>sportovně rekreační plochy doplnit obecně v návaznosti na posilovaný systém</w:t>
      </w:r>
      <w:r>
        <w:rPr>
          <w:spacing w:val="40"/>
          <w:sz w:val="22"/>
        </w:rPr>
        <w:t> </w:t>
      </w:r>
      <w:r>
        <w:rPr>
          <w:sz w:val="22"/>
        </w:rPr>
        <w:t>ploch</w:t>
      </w:r>
    </w:p>
    <w:p>
      <w:pPr>
        <w:spacing w:line="252" w:lineRule="exact" w:before="0"/>
        <w:ind w:left="1024" w:right="0" w:firstLine="0"/>
        <w:jc w:val="both"/>
        <w:rPr>
          <w:sz w:val="22"/>
        </w:rPr>
      </w:pPr>
      <w:r>
        <w:rPr>
          <w:b/>
          <w:sz w:val="22"/>
        </w:rPr>
        <w:t>sídelní zeleně (Z) </w:t>
      </w:r>
      <w:r>
        <w:rPr>
          <w:sz w:val="22"/>
        </w:rPr>
        <w:t>podél vodních toků a propojit cykloturistickými trasami,</w:t>
      </w:r>
    </w:p>
    <w:p>
      <w:pPr>
        <w:pStyle w:val="ListParagraph"/>
        <w:numPr>
          <w:ilvl w:val="0"/>
          <w:numId w:val="2"/>
        </w:numPr>
        <w:tabs>
          <w:tab w:pos="1024" w:val="left" w:leader="none"/>
          <w:tab w:pos="1025" w:val="left" w:leader="none"/>
        </w:tabs>
        <w:spacing w:line="242" w:lineRule="auto" w:before="78" w:after="0"/>
        <w:ind w:left="1024" w:right="143" w:hanging="852"/>
        <w:jc w:val="both"/>
        <w:rPr>
          <w:sz w:val="22"/>
        </w:rPr>
      </w:pPr>
      <w:r>
        <w:rPr>
          <w:sz w:val="22"/>
        </w:rPr>
        <w:t>na významných  plochách  sídelní zeleně  zajišťovat  </w:t>
      </w:r>
      <w:r>
        <w:rPr>
          <w:b/>
          <w:sz w:val="22"/>
        </w:rPr>
        <w:t>funkci  veřejné  zeleně </w:t>
      </w:r>
      <w:r>
        <w:rPr>
          <w:sz w:val="22"/>
        </w:rPr>
        <w:t>–  zejména v návaznosti na obytné soubory bytových domů (lesopark jižně sídliště Střelecký</w:t>
      </w:r>
      <w:r>
        <w:rPr>
          <w:spacing w:val="-24"/>
          <w:sz w:val="22"/>
        </w:rPr>
        <w:t> </w:t>
      </w:r>
      <w:r>
        <w:rPr>
          <w:sz w:val="22"/>
        </w:rPr>
        <w:t>vrch),</w:t>
      </w:r>
    </w:p>
    <w:p>
      <w:pPr>
        <w:pStyle w:val="ListParagraph"/>
        <w:numPr>
          <w:ilvl w:val="0"/>
          <w:numId w:val="2"/>
        </w:numPr>
        <w:tabs>
          <w:tab w:pos="1024" w:val="left" w:leader="none"/>
          <w:tab w:pos="1025" w:val="left" w:leader="none"/>
        </w:tabs>
        <w:spacing w:line="240" w:lineRule="auto" w:before="76" w:after="0"/>
        <w:ind w:left="1024" w:right="0" w:hanging="853"/>
        <w:jc w:val="both"/>
        <w:rPr>
          <w:sz w:val="22"/>
        </w:rPr>
      </w:pPr>
      <w:r>
        <w:rPr>
          <w:sz w:val="22"/>
        </w:rPr>
        <w:t>odpovídající parkoviště doplnit na vlastních</w:t>
      </w:r>
      <w:r>
        <w:rPr>
          <w:spacing w:val="-2"/>
          <w:sz w:val="22"/>
        </w:rPr>
        <w:t> </w:t>
      </w:r>
      <w:r>
        <w:rPr>
          <w:sz w:val="22"/>
        </w:rPr>
        <w:t>plochách.</w:t>
      </w:r>
    </w:p>
    <w:p>
      <w:pPr>
        <w:pStyle w:val="ListParagraph"/>
        <w:numPr>
          <w:ilvl w:val="0"/>
          <w:numId w:val="1"/>
        </w:numPr>
        <w:tabs>
          <w:tab w:pos="1024" w:val="left" w:leader="none"/>
          <w:tab w:pos="1025" w:val="left" w:leader="none"/>
        </w:tabs>
        <w:spacing w:line="240" w:lineRule="auto" w:before="80" w:after="0"/>
        <w:ind w:left="1024" w:right="142" w:hanging="852"/>
        <w:jc w:val="both"/>
        <w:rPr>
          <w:sz w:val="22"/>
        </w:rPr>
      </w:pPr>
      <w:r>
        <w:rPr>
          <w:sz w:val="22"/>
        </w:rPr>
        <w:t>Při dobré dostupnosti rozvíjejících se rekreačních zařízení v širším zájmovém území navazujícím na jádrové město soustředit pozornost z hlediska rekreace na využití rekreačního potenciálu vlastního řešeného území pro </w:t>
      </w:r>
      <w:r>
        <w:rPr>
          <w:b/>
          <w:sz w:val="22"/>
        </w:rPr>
        <w:t>cykloturistiku </w:t>
      </w:r>
      <w:r>
        <w:rPr>
          <w:sz w:val="22"/>
        </w:rPr>
        <w:t>ve vazbě na širší koncepce a</w:t>
      </w:r>
      <w:r>
        <w:rPr>
          <w:spacing w:val="-3"/>
          <w:sz w:val="22"/>
        </w:rPr>
        <w:t> </w:t>
      </w:r>
      <w:r>
        <w:rPr>
          <w:b/>
          <w:sz w:val="22"/>
        </w:rPr>
        <w:t>agroturistiku</w:t>
      </w:r>
      <w:r>
        <w:rPr>
          <w:sz w:val="22"/>
        </w:rPr>
        <w:t>,</w:t>
      </w:r>
    </w:p>
    <w:p>
      <w:pPr>
        <w:pStyle w:val="ListParagraph"/>
        <w:numPr>
          <w:ilvl w:val="0"/>
          <w:numId w:val="2"/>
        </w:numPr>
        <w:tabs>
          <w:tab w:pos="1024" w:val="left" w:leader="none"/>
          <w:tab w:pos="1025" w:val="left" w:leader="none"/>
        </w:tabs>
        <w:spacing w:line="240" w:lineRule="auto" w:before="80" w:after="0"/>
        <w:ind w:left="1024" w:right="0" w:hanging="853"/>
        <w:jc w:val="both"/>
        <w:rPr>
          <w:sz w:val="22"/>
        </w:rPr>
      </w:pPr>
      <w:r>
        <w:rPr>
          <w:sz w:val="22"/>
        </w:rPr>
        <w:t>agroturistický potenciál území rozvíjet ve vazbě na farmu ve</w:t>
      </w:r>
      <w:r>
        <w:rPr>
          <w:spacing w:val="-11"/>
          <w:sz w:val="22"/>
        </w:rPr>
        <w:t> </w:t>
      </w:r>
      <w:r>
        <w:rPr>
          <w:sz w:val="22"/>
        </w:rPr>
        <w:t>Vysoké.</w:t>
      </w:r>
    </w:p>
    <w:p>
      <w:pPr>
        <w:spacing w:after="0" w:line="240" w:lineRule="auto"/>
        <w:jc w:val="both"/>
        <w:rPr>
          <w:sz w:val="22"/>
        </w:rPr>
        <w:sectPr>
          <w:pgSz w:w="11900" w:h="16840"/>
          <w:pgMar w:header="561" w:footer="582" w:top="760" w:bottom="780" w:left="960" w:right="980"/>
        </w:sectPr>
      </w:pPr>
    </w:p>
    <w:p>
      <w:pPr>
        <w:pStyle w:val="BodyText"/>
        <w:spacing w:before="4"/>
        <w:ind w:left="0" w:firstLine="0"/>
        <w:jc w:val="left"/>
      </w:pPr>
    </w:p>
    <w:p>
      <w:pPr>
        <w:pStyle w:val="ListParagraph"/>
        <w:numPr>
          <w:ilvl w:val="0"/>
          <w:numId w:val="1"/>
        </w:numPr>
        <w:tabs>
          <w:tab w:pos="1024" w:val="left" w:leader="none"/>
          <w:tab w:pos="1025" w:val="left" w:leader="none"/>
        </w:tabs>
        <w:spacing w:line="244" w:lineRule="auto" w:before="102" w:after="0"/>
        <w:ind w:left="1024" w:right="144" w:hanging="852"/>
        <w:jc w:val="both"/>
        <w:rPr>
          <w:sz w:val="22"/>
        </w:rPr>
      </w:pPr>
      <w:r>
        <w:rPr>
          <w:b/>
          <w:sz w:val="22"/>
        </w:rPr>
        <w:t>Zimní rekreační využití </w:t>
      </w:r>
      <w:r>
        <w:rPr>
          <w:sz w:val="22"/>
        </w:rPr>
        <w:t>zajistit lyžařským vlekem se sjezdovkou v Andělské Hoře zařazenou do ploch sídelní zeleně</w:t>
      </w:r>
      <w:r>
        <w:rPr>
          <w:spacing w:val="-2"/>
          <w:sz w:val="22"/>
        </w:rPr>
        <w:t> </w:t>
      </w:r>
      <w:r>
        <w:rPr>
          <w:sz w:val="22"/>
        </w:rPr>
        <w:t>(Z),</w:t>
      </w:r>
    </w:p>
    <w:p>
      <w:pPr>
        <w:pStyle w:val="ListParagraph"/>
        <w:numPr>
          <w:ilvl w:val="0"/>
          <w:numId w:val="2"/>
        </w:numPr>
        <w:tabs>
          <w:tab w:pos="1024" w:val="left" w:leader="none"/>
          <w:tab w:pos="1025" w:val="left" w:leader="none"/>
        </w:tabs>
        <w:spacing w:line="240" w:lineRule="auto" w:before="72" w:after="0"/>
        <w:ind w:left="1024" w:right="144" w:hanging="852"/>
        <w:jc w:val="both"/>
        <w:rPr>
          <w:sz w:val="22"/>
        </w:rPr>
      </w:pPr>
      <w:r>
        <w:rPr>
          <w:sz w:val="22"/>
        </w:rPr>
        <w:t>zlepšit dopravní přístupnost tohoto zařízení vybudováním nového nástupu od ulice Andělohorské.</w:t>
      </w:r>
    </w:p>
    <w:p>
      <w:pPr>
        <w:pStyle w:val="Heading2"/>
        <w:numPr>
          <w:ilvl w:val="2"/>
          <w:numId w:val="4"/>
        </w:numPr>
        <w:tabs>
          <w:tab w:pos="1025" w:val="left" w:leader="none"/>
        </w:tabs>
        <w:spacing w:line="240" w:lineRule="auto" w:before="178" w:after="0"/>
        <w:ind w:left="1024" w:right="0" w:hanging="853"/>
        <w:jc w:val="both"/>
      </w:pPr>
      <w:r>
        <w:rPr/>
        <w:t>SYSTÉM SÍDELNÍ ZELENĚ</w:t>
      </w:r>
    </w:p>
    <w:p>
      <w:pPr>
        <w:pStyle w:val="ListParagraph"/>
        <w:numPr>
          <w:ilvl w:val="0"/>
          <w:numId w:val="1"/>
        </w:numPr>
        <w:tabs>
          <w:tab w:pos="1024" w:val="left" w:leader="none"/>
          <w:tab w:pos="1025" w:val="left" w:leader="none"/>
        </w:tabs>
        <w:spacing w:line="240" w:lineRule="auto" w:before="122" w:after="0"/>
        <w:ind w:left="1024" w:right="145" w:hanging="852"/>
        <w:jc w:val="both"/>
        <w:rPr>
          <w:b/>
          <w:sz w:val="22"/>
        </w:rPr>
      </w:pPr>
      <w:r>
        <w:rPr>
          <w:sz w:val="22"/>
        </w:rPr>
        <w:t>Posilovat kostru sídelní zeleně revitalizací stabilizovaných nezastavěných a návrhem nezastavitelných ploch sídelní zeleně (Z) za účelem jejího zapojení do </w:t>
      </w:r>
      <w:r>
        <w:rPr>
          <w:b/>
          <w:sz w:val="22"/>
        </w:rPr>
        <w:t>kostry veřejných prostranství,</w:t>
      </w:r>
    </w:p>
    <w:p>
      <w:pPr>
        <w:pStyle w:val="ListParagraph"/>
        <w:numPr>
          <w:ilvl w:val="0"/>
          <w:numId w:val="2"/>
        </w:numPr>
        <w:tabs>
          <w:tab w:pos="1024" w:val="left" w:leader="none"/>
          <w:tab w:pos="1025" w:val="left" w:leader="none"/>
        </w:tabs>
        <w:spacing w:line="240" w:lineRule="auto" w:before="60" w:after="0"/>
        <w:ind w:left="1024" w:right="145" w:hanging="853"/>
        <w:jc w:val="both"/>
        <w:rPr>
          <w:sz w:val="22"/>
        </w:rPr>
      </w:pPr>
      <w:r>
        <w:rPr>
          <w:sz w:val="22"/>
        </w:rPr>
        <w:t>do reorganizace těchto ploch zapojit stávající významné plochy zeleně - náměstí 1. máje, lesopark Vítkovská, park Nádražní ulice, hřbitov aj., propojit je doprovodnými pásy zeleně podél hlavních komunikací a</w:t>
      </w:r>
      <w:r>
        <w:rPr>
          <w:spacing w:val="-4"/>
          <w:sz w:val="22"/>
        </w:rPr>
        <w:t> </w:t>
      </w:r>
      <w:r>
        <w:rPr>
          <w:sz w:val="22"/>
        </w:rPr>
        <w:t>vodotečí,</w:t>
      </w:r>
    </w:p>
    <w:p>
      <w:pPr>
        <w:pStyle w:val="ListParagraph"/>
        <w:numPr>
          <w:ilvl w:val="0"/>
          <w:numId w:val="2"/>
        </w:numPr>
        <w:tabs>
          <w:tab w:pos="1024" w:val="left" w:leader="none"/>
          <w:tab w:pos="1025" w:val="left" w:leader="none"/>
        </w:tabs>
        <w:spacing w:line="240" w:lineRule="auto" w:before="39" w:after="0"/>
        <w:ind w:left="1024" w:right="142" w:hanging="852"/>
        <w:jc w:val="both"/>
        <w:rPr>
          <w:sz w:val="22"/>
        </w:rPr>
      </w:pPr>
      <w:r>
        <w:rPr>
          <w:sz w:val="22"/>
        </w:rPr>
        <w:t>v rámci úprav systému sídelní zeleně posílit pás ochranné zeleně mezi sídlištěm Střelecký vrch a silnicí I/35 a realizovat veřejně přístupnou pobytovou zeleň – lesopark podél silnice I/35, oddělující zástavbu sídliště Střelecký vrch a budoucí zástavbu RD u kotelny sídliště Střelecký</w:t>
      </w:r>
      <w:r>
        <w:rPr>
          <w:spacing w:val="-3"/>
          <w:sz w:val="22"/>
        </w:rPr>
        <w:t> </w:t>
      </w:r>
      <w:r>
        <w:rPr>
          <w:sz w:val="22"/>
        </w:rPr>
        <w:t>vrch,</w:t>
      </w:r>
    </w:p>
    <w:p>
      <w:pPr>
        <w:pStyle w:val="ListParagraph"/>
        <w:numPr>
          <w:ilvl w:val="0"/>
          <w:numId w:val="2"/>
        </w:numPr>
        <w:tabs>
          <w:tab w:pos="1024" w:val="left" w:leader="none"/>
          <w:tab w:pos="1025" w:val="left" w:leader="none"/>
        </w:tabs>
        <w:spacing w:line="240" w:lineRule="auto" w:before="60" w:after="0"/>
        <w:ind w:left="1024" w:right="0" w:hanging="853"/>
        <w:jc w:val="both"/>
        <w:rPr>
          <w:sz w:val="22"/>
        </w:rPr>
      </w:pPr>
      <w:r>
        <w:rPr>
          <w:sz w:val="22"/>
        </w:rPr>
        <w:t>založit dřevinné doprovody navrhovaných přeložek místních</w:t>
      </w:r>
      <w:r>
        <w:rPr>
          <w:spacing w:val="-5"/>
          <w:sz w:val="22"/>
        </w:rPr>
        <w:t> </w:t>
      </w:r>
      <w:r>
        <w:rPr>
          <w:sz w:val="22"/>
        </w:rPr>
        <w:t>komunikací.</w:t>
      </w:r>
    </w:p>
    <w:p>
      <w:pPr>
        <w:pStyle w:val="ListParagraph"/>
        <w:numPr>
          <w:ilvl w:val="0"/>
          <w:numId w:val="1"/>
        </w:numPr>
        <w:tabs>
          <w:tab w:pos="1024" w:val="left" w:leader="none"/>
          <w:tab w:pos="1025" w:val="left" w:leader="none"/>
        </w:tabs>
        <w:spacing w:line="240" w:lineRule="auto" w:before="118" w:after="0"/>
        <w:ind w:left="1024" w:right="0" w:hanging="853"/>
        <w:jc w:val="both"/>
        <w:rPr>
          <w:sz w:val="22"/>
        </w:rPr>
      </w:pPr>
      <w:r>
        <w:rPr>
          <w:sz w:val="22"/>
        </w:rPr>
        <w:t>Nové plochy sídelní zeleně (Z) realizovat</w:t>
      </w:r>
      <w:r>
        <w:rPr>
          <w:spacing w:val="-5"/>
          <w:sz w:val="22"/>
        </w:rPr>
        <w:t> </w:t>
      </w:r>
      <w:r>
        <w:rPr>
          <w:sz w:val="22"/>
        </w:rPr>
        <w:t>jako:</w:t>
      </w:r>
    </w:p>
    <w:p>
      <w:pPr>
        <w:pStyle w:val="ListParagraph"/>
        <w:numPr>
          <w:ilvl w:val="0"/>
          <w:numId w:val="2"/>
        </w:numPr>
        <w:tabs>
          <w:tab w:pos="1024" w:val="left" w:leader="none"/>
          <w:tab w:pos="1025" w:val="left" w:leader="none"/>
        </w:tabs>
        <w:spacing w:line="253" w:lineRule="exact" w:before="1" w:after="0"/>
        <w:ind w:left="1024" w:right="0" w:hanging="853"/>
        <w:jc w:val="left"/>
        <w:rPr>
          <w:sz w:val="22"/>
        </w:rPr>
      </w:pPr>
      <w:r>
        <w:rPr>
          <w:sz w:val="22"/>
        </w:rPr>
        <w:t>vymezení okraje zástavby Bílokostelecké ulice v ploše</w:t>
      </w:r>
      <w:r>
        <w:rPr>
          <w:spacing w:val="-11"/>
          <w:sz w:val="22"/>
        </w:rPr>
        <w:t> </w:t>
      </w:r>
      <w:r>
        <w:rPr>
          <w:sz w:val="22"/>
        </w:rPr>
        <w:t>84.Z,</w:t>
      </w:r>
    </w:p>
    <w:p>
      <w:pPr>
        <w:pStyle w:val="ListParagraph"/>
        <w:numPr>
          <w:ilvl w:val="0"/>
          <w:numId w:val="2"/>
        </w:numPr>
        <w:tabs>
          <w:tab w:pos="1024" w:val="left" w:leader="none"/>
          <w:tab w:pos="1025" w:val="left" w:leader="none"/>
        </w:tabs>
        <w:spacing w:line="252" w:lineRule="exact" w:before="0" w:after="0"/>
        <w:ind w:left="1024" w:right="0" w:hanging="853"/>
        <w:jc w:val="left"/>
        <w:rPr>
          <w:sz w:val="22"/>
        </w:rPr>
      </w:pPr>
      <w:r>
        <w:rPr>
          <w:sz w:val="22"/>
        </w:rPr>
        <w:t>očištění pásu podél Jeřice v ploše</w:t>
      </w:r>
      <w:r>
        <w:rPr>
          <w:spacing w:val="-6"/>
          <w:sz w:val="22"/>
        </w:rPr>
        <w:t> </w:t>
      </w:r>
      <w:r>
        <w:rPr>
          <w:sz w:val="22"/>
        </w:rPr>
        <w:t>85.Z,</w:t>
      </w:r>
    </w:p>
    <w:p>
      <w:pPr>
        <w:pStyle w:val="ListParagraph"/>
        <w:numPr>
          <w:ilvl w:val="0"/>
          <w:numId w:val="2"/>
        </w:numPr>
        <w:tabs>
          <w:tab w:pos="1024" w:val="left" w:leader="none"/>
          <w:tab w:pos="1025" w:val="left" w:leader="none"/>
        </w:tabs>
        <w:spacing w:line="253" w:lineRule="exact" w:before="0" w:after="0"/>
        <w:ind w:left="1024" w:right="0" w:hanging="853"/>
        <w:jc w:val="left"/>
        <w:rPr>
          <w:sz w:val="22"/>
        </w:rPr>
      </w:pPr>
      <w:r>
        <w:rPr>
          <w:sz w:val="22"/>
        </w:rPr>
        <w:t>rozšíření parku na kostelním pahorku v ploše</w:t>
      </w:r>
      <w:r>
        <w:rPr>
          <w:spacing w:val="-11"/>
          <w:sz w:val="22"/>
        </w:rPr>
        <w:t> </w:t>
      </w:r>
      <w:r>
        <w:rPr>
          <w:sz w:val="22"/>
        </w:rPr>
        <w:t>47.Z.</w:t>
      </w:r>
    </w:p>
    <w:p>
      <w:pPr>
        <w:pStyle w:val="ListParagraph"/>
        <w:numPr>
          <w:ilvl w:val="0"/>
          <w:numId w:val="1"/>
        </w:numPr>
        <w:tabs>
          <w:tab w:pos="1024" w:val="left" w:leader="none"/>
          <w:tab w:pos="1025" w:val="left" w:leader="none"/>
        </w:tabs>
        <w:spacing w:line="240" w:lineRule="auto" w:before="118" w:after="0"/>
        <w:ind w:left="1024" w:right="144" w:hanging="852"/>
        <w:jc w:val="both"/>
        <w:rPr>
          <w:sz w:val="22"/>
        </w:rPr>
      </w:pPr>
      <w:r>
        <w:rPr>
          <w:sz w:val="22"/>
        </w:rPr>
        <w:t>Na celém řešeném území chránit </w:t>
      </w:r>
      <w:r>
        <w:rPr>
          <w:b/>
          <w:sz w:val="22"/>
        </w:rPr>
        <w:t>vzrostlou nelesní zeleň</w:t>
      </w:r>
      <w:r>
        <w:rPr>
          <w:sz w:val="22"/>
        </w:rPr>
        <w:t>, případnou likvidaci prvků zeleně patřičně zdůvodnit a odsouhlasit orgánem ochrany přírody, případně podmiňovat náhradní</w:t>
      </w:r>
      <w:r>
        <w:rPr>
          <w:spacing w:val="-4"/>
          <w:sz w:val="22"/>
        </w:rPr>
        <w:t> </w:t>
      </w:r>
      <w:r>
        <w:rPr>
          <w:sz w:val="22"/>
        </w:rPr>
        <w:t>výsadbou.</w:t>
      </w:r>
    </w:p>
    <w:p>
      <w:pPr>
        <w:pStyle w:val="ListParagraph"/>
        <w:numPr>
          <w:ilvl w:val="0"/>
          <w:numId w:val="1"/>
        </w:numPr>
        <w:tabs>
          <w:tab w:pos="1024" w:val="left" w:leader="none"/>
          <w:tab w:pos="1025" w:val="left" w:leader="none"/>
        </w:tabs>
        <w:spacing w:line="240" w:lineRule="auto" w:before="120" w:after="0"/>
        <w:ind w:left="1024" w:right="144" w:hanging="852"/>
        <w:jc w:val="both"/>
        <w:rPr>
          <w:sz w:val="22"/>
        </w:rPr>
      </w:pPr>
      <w:r>
        <w:rPr>
          <w:sz w:val="22"/>
        </w:rPr>
        <w:t>Respektovat </w:t>
      </w:r>
      <w:r>
        <w:rPr>
          <w:b/>
          <w:sz w:val="22"/>
        </w:rPr>
        <w:t>zvláštní ochranu </w:t>
      </w:r>
      <w:r>
        <w:rPr>
          <w:sz w:val="22"/>
        </w:rPr>
        <w:t>prvků nelesní zeleně (významné </w:t>
      </w:r>
      <w:r>
        <w:rPr>
          <w:spacing w:val="-3"/>
          <w:sz w:val="22"/>
        </w:rPr>
        <w:t>solitéry, </w:t>
      </w:r>
      <w:r>
        <w:rPr>
          <w:sz w:val="22"/>
        </w:rPr>
        <w:t>skupiny) současnou či realizovanou dle návrhů ÚP v kategorii památný strom i jejich obecná ochranu.</w:t>
      </w:r>
    </w:p>
    <w:p>
      <w:pPr>
        <w:pStyle w:val="ListParagraph"/>
        <w:numPr>
          <w:ilvl w:val="0"/>
          <w:numId w:val="1"/>
        </w:numPr>
        <w:tabs>
          <w:tab w:pos="1024" w:val="left" w:leader="none"/>
          <w:tab w:pos="1025" w:val="left" w:leader="none"/>
        </w:tabs>
        <w:spacing w:line="252" w:lineRule="exact" w:before="122" w:after="0"/>
        <w:ind w:left="1024" w:right="0" w:hanging="853"/>
        <w:jc w:val="both"/>
        <w:rPr>
          <w:sz w:val="22"/>
        </w:rPr>
      </w:pPr>
      <w:r>
        <w:rPr>
          <w:sz w:val="22"/>
        </w:rPr>
        <w:t>Provádět rekonstrukce (doplnění mobiliářů, úpravy cest a pěšin, pěstební</w:t>
      </w:r>
      <w:r>
        <w:rPr>
          <w:spacing w:val="46"/>
          <w:sz w:val="22"/>
        </w:rPr>
        <w:t> </w:t>
      </w:r>
      <w:r>
        <w:rPr>
          <w:sz w:val="22"/>
        </w:rPr>
        <w:t>úpravy,...)</w:t>
      </w:r>
    </w:p>
    <w:p>
      <w:pPr>
        <w:pStyle w:val="BodyText"/>
        <w:spacing w:line="252" w:lineRule="exact"/>
        <w:ind w:firstLine="0"/>
      </w:pPr>
      <w:r>
        <w:rPr>
          <w:b/>
        </w:rPr>
        <w:t>parků </w:t>
      </w:r>
      <w:r>
        <w:rPr/>
        <w:t>a parkově upravených ploch.</w:t>
      </w:r>
    </w:p>
    <w:p>
      <w:pPr>
        <w:pStyle w:val="ListParagraph"/>
        <w:numPr>
          <w:ilvl w:val="0"/>
          <w:numId w:val="1"/>
        </w:numPr>
        <w:tabs>
          <w:tab w:pos="1024" w:val="left" w:leader="none"/>
          <w:tab w:pos="1025" w:val="left" w:leader="none"/>
        </w:tabs>
        <w:spacing w:line="240" w:lineRule="auto" w:before="121" w:after="0"/>
        <w:ind w:left="1024" w:right="144" w:hanging="852"/>
        <w:jc w:val="both"/>
        <w:rPr>
          <w:sz w:val="22"/>
        </w:rPr>
      </w:pPr>
      <w:r>
        <w:rPr>
          <w:sz w:val="22"/>
        </w:rPr>
        <w:t>Širokou škálu prolínajících se druhů nelesní zeleně (solitérní, liniová, vyhrazená, soukromá) umisťovat i v rámci jednotlivých </w:t>
      </w:r>
      <w:r>
        <w:rPr>
          <w:b/>
          <w:sz w:val="22"/>
        </w:rPr>
        <w:t>zastavěných a zastavitelných ploch</w:t>
      </w:r>
      <w:r>
        <w:rPr>
          <w:sz w:val="22"/>
        </w:rPr>
        <w:t>, a do nich integrovaných veřejných</w:t>
      </w:r>
      <w:r>
        <w:rPr>
          <w:spacing w:val="-1"/>
          <w:sz w:val="22"/>
        </w:rPr>
        <w:t> </w:t>
      </w:r>
      <w:r>
        <w:rPr>
          <w:sz w:val="22"/>
        </w:rPr>
        <w:t>prostranství,</w:t>
      </w:r>
    </w:p>
    <w:p>
      <w:pPr>
        <w:pStyle w:val="ListParagraph"/>
        <w:numPr>
          <w:ilvl w:val="0"/>
          <w:numId w:val="2"/>
        </w:numPr>
        <w:tabs>
          <w:tab w:pos="1024" w:val="left" w:leader="none"/>
          <w:tab w:pos="1025" w:val="left" w:leader="none"/>
        </w:tabs>
        <w:spacing w:line="240" w:lineRule="auto" w:before="0" w:after="0"/>
        <w:ind w:left="1024" w:right="144" w:hanging="853"/>
        <w:jc w:val="both"/>
        <w:rPr>
          <w:sz w:val="22"/>
        </w:rPr>
      </w:pPr>
      <w:r>
        <w:rPr>
          <w:b/>
          <w:sz w:val="22"/>
        </w:rPr>
        <w:t>v zastavitelných plochách </w:t>
      </w:r>
      <w:r>
        <w:rPr>
          <w:sz w:val="22"/>
        </w:rPr>
        <w:t>zohlednit rozsah a umístění zeleně na základě podmínek pro využití ploch uvedených v tabulkách kapitoly „C.2 Návrh zastavitelných ploch, ploch přestavby a nezastavitelných ploch“ návrhu</w:t>
      </w:r>
      <w:r>
        <w:rPr>
          <w:spacing w:val="-2"/>
          <w:sz w:val="22"/>
        </w:rPr>
        <w:t> </w:t>
      </w:r>
      <w:r>
        <w:rPr>
          <w:sz w:val="22"/>
        </w:rPr>
        <w:t>ÚP:</w:t>
      </w:r>
    </w:p>
    <w:p>
      <w:pPr>
        <w:pStyle w:val="ListParagraph"/>
        <w:numPr>
          <w:ilvl w:val="0"/>
          <w:numId w:val="2"/>
        </w:numPr>
        <w:tabs>
          <w:tab w:pos="1024" w:val="left" w:leader="none"/>
          <w:tab w:pos="1025" w:val="left" w:leader="none"/>
        </w:tabs>
        <w:spacing w:line="240" w:lineRule="auto" w:before="0" w:after="0"/>
        <w:ind w:left="1024" w:right="146" w:hanging="852"/>
        <w:jc w:val="both"/>
        <w:rPr>
          <w:sz w:val="22"/>
        </w:rPr>
      </w:pPr>
      <w:r>
        <w:rPr>
          <w:sz w:val="22"/>
        </w:rPr>
        <w:t>„</w:t>
      </w:r>
      <w:r>
        <w:rPr>
          <w:b/>
          <w:sz w:val="22"/>
        </w:rPr>
        <w:t>VP </w:t>
      </w:r>
      <w:r>
        <w:rPr>
          <w:sz w:val="22"/>
        </w:rPr>
        <w:t>– v dalších stupních projektové přípravy prokázat způsob vymezení veřejných prostranství na celé ploše vč. návaznosti na širší</w:t>
      </w:r>
      <w:r>
        <w:rPr>
          <w:spacing w:val="-7"/>
          <w:sz w:val="22"/>
        </w:rPr>
        <w:t> </w:t>
      </w:r>
      <w:r>
        <w:rPr>
          <w:sz w:val="22"/>
        </w:rPr>
        <w:t>území“.</w:t>
      </w:r>
    </w:p>
    <w:p>
      <w:pPr>
        <w:pStyle w:val="ListParagraph"/>
        <w:numPr>
          <w:ilvl w:val="0"/>
          <w:numId w:val="1"/>
        </w:numPr>
        <w:tabs>
          <w:tab w:pos="1024" w:val="left" w:leader="none"/>
          <w:tab w:pos="1025" w:val="left" w:leader="none"/>
        </w:tabs>
        <w:spacing w:line="244" w:lineRule="auto" w:before="115" w:after="0"/>
        <w:ind w:left="1024" w:right="145" w:hanging="853"/>
        <w:jc w:val="both"/>
        <w:rPr>
          <w:sz w:val="22"/>
        </w:rPr>
      </w:pPr>
      <w:r>
        <w:rPr>
          <w:sz w:val="22"/>
        </w:rPr>
        <w:t>Pro </w:t>
      </w:r>
      <w:r>
        <w:rPr>
          <w:b/>
          <w:sz w:val="22"/>
        </w:rPr>
        <w:t>podrobné řešení </w:t>
      </w:r>
      <w:r>
        <w:rPr>
          <w:sz w:val="22"/>
        </w:rPr>
        <w:t>zastavěných a zastavitelných ploch (DÚR, revitalizace,  dostavba,...) se</w:t>
      </w:r>
      <w:r>
        <w:rPr>
          <w:spacing w:val="-1"/>
          <w:sz w:val="22"/>
        </w:rPr>
        <w:t> </w:t>
      </w:r>
      <w:r>
        <w:rPr>
          <w:sz w:val="22"/>
        </w:rPr>
        <w:t>stanovuje:</w:t>
      </w:r>
    </w:p>
    <w:p>
      <w:pPr>
        <w:pStyle w:val="ListParagraph"/>
        <w:numPr>
          <w:ilvl w:val="0"/>
          <w:numId w:val="2"/>
        </w:numPr>
        <w:tabs>
          <w:tab w:pos="1024" w:val="left" w:leader="none"/>
          <w:tab w:pos="1025" w:val="left" w:leader="none"/>
        </w:tabs>
        <w:spacing w:line="246" w:lineRule="exact" w:before="0" w:after="0"/>
        <w:ind w:left="1024" w:right="0" w:hanging="853"/>
        <w:jc w:val="both"/>
        <w:rPr>
          <w:sz w:val="22"/>
        </w:rPr>
      </w:pPr>
      <w:r>
        <w:rPr>
          <w:sz w:val="22"/>
        </w:rPr>
        <w:t>koeficient zeleně Kz v kapitole „F.4 Podmínky prostorového</w:t>
      </w:r>
      <w:r>
        <w:rPr>
          <w:spacing w:val="-11"/>
          <w:sz w:val="22"/>
        </w:rPr>
        <w:t> </w:t>
      </w:r>
      <w:r>
        <w:rPr>
          <w:sz w:val="22"/>
        </w:rPr>
        <w:t>uspořádání“,</w:t>
      </w:r>
    </w:p>
    <w:p>
      <w:pPr>
        <w:pStyle w:val="ListParagraph"/>
        <w:numPr>
          <w:ilvl w:val="0"/>
          <w:numId w:val="2"/>
        </w:numPr>
        <w:tabs>
          <w:tab w:pos="1024" w:val="left" w:leader="none"/>
          <w:tab w:pos="1025" w:val="left" w:leader="none"/>
        </w:tabs>
        <w:spacing w:line="240" w:lineRule="auto" w:before="0" w:after="0"/>
        <w:ind w:left="1024" w:right="143" w:hanging="853"/>
        <w:jc w:val="both"/>
        <w:rPr>
          <w:sz w:val="22"/>
        </w:rPr>
      </w:pPr>
      <w:r>
        <w:rPr>
          <w:sz w:val="22"/>
        </w:rPr>
        <w:t>ukazatel min. 500 m</w:t>
      </w:r>
      <w:r>
        <w:rPr>
          <w:sz w:val="22"/>
          <w:vertAlign w:val="superscript"/>
        </w:rPr>
        <w:t>2</w:t>
      </w:r>
      <w:r>
        <w:rPr>
          <w:sz w:val="22"/>
          <w:vertAlign w:val="baseline"/>
        </w:rPr>
        <w:t> ploch </w:t>
      </w:r>
      <w:r>
        <w:rPr>
          <w:b/>
          <w:sz w:val="22"/>
          <w:vertAlign w:val="baseline"/>
        </w:rPr>
        <w:t>veřejné zeleně </w:t>
      </w:r>
      <w:r>
        <w:rPr>
          <w:sz w:val="22"/>
          <w:vertAlign w:val="baseline"/>
        </w:rPr>
        <w:t>na každý 1 ha výměry dané plochy (regulační blok, návrhová plocha) v rámci rozsahu zeleně vyplývajícího z</w:t>
      </w:r>
      <w:r>
        <w:rPr>
          <w:spacing w:val="-13"/>
          <w:sz w:val="22"/>
          <w:vertAlign w:val="baseline"/>
        </w:rPr>
        <w:t> </w:t>
      </w:r>
      <w:r>
        <w:rPr>
          <w:sz w:val="22"/>
          <w:vertAlign w:val="baseline"/>
        </w:rPr>
        <w:t>Kz,</w:t>
      </w:r>
    </w:p>
    <w:p>
      <w:pPr>
        <w:pStyle w:val="ListParagraph"/>
        <w:numPr>
          <w:ilvl w:val="0"/>
          <w:numId w:val="2"/>
        </w:numPr>
        <w:tabs>
          <w:tab w:pos="1024" w:val="left" w:leader="none"/>
          <w:tab w:pos="1025" w:val="left" w:leader="none"/>
        </w:tabs>
        <w:spacing w:line="242" w:lineRule="auto" w:before="0" w:after="0"/>
        <w:ind w:left="1024" w:right="145" w:hanging="852"/>
        <w:jc w:val="both"/>
        <w:rPr>
          <w:sz w:val="22"/>
        </w:rPr>
      </w:pPr>
      <w:r>
        <w:rPr>
          <w:sz w:val="22"/>
        </w:rPr>
        <w:t>zajištění  dostupnosti  dostatečně  kapacitní  </w:t>
      </w:r>
      <w:r>
        <w:rPr>
          <w:b/>
          <w:sz w:val="22"/>
        </w:rPr>
        <w:t>rekreační  zeleně  </w:t>
      </w:r>
      <w:r>
        <w:rPr>
          <w:sz w:val="22"/>
        </w:rPr>
        <w:t>do  vzdálenosti  400 m    v kapitole „F.3 Omezení využívání ploch s rozdílným způsobem</w:t>
      </w:r>
      <w:r>
        <w:rPr>
          <w:spacing w:val="-11"/>
          <w:sz w:val="22"/>
        </w:rPr>
        <w:t> </w:t>
      </w:r>
      <w:r>
        <w:rPr>
          <w:sz w:val="22"/>
        </w:rPr>
        <w:t>využití“.</w:t>
      </w:r>
    </w:p>
    <w:p>
      <w:pPr>
        <w:pStyle w:val="Heading2"/>
        <w:numPr>
          <w:ilvl w:val="2"/>
          <w:numId w:val="4"/>
        </w:numPr>
        <w:tabs>
          <w:tab w:pos="1025" w:val="left" w:leader="none"/>
        </w:tabs>
        <w:spacing w:line="240" w:lineRule="auto" w:before="172" w:after="0"/>
        <w:ind w:left="1024" w:right="0" w:hanging="853"/>
        <w:jc w:val="both"/>
      </w:pPr>
      <w:r>
        <w:rPr/>
        <w:t>PŘÍMĚSTSKÁ</w:t>
      </w:r>
      <w:r>
        <w:rPr>
          <w:spacing w:val="1"/>
        </w:rPr>
        <w:t> </w:t>
      </w:r>
      <w:r>
        <w:rPr/>
        <w:t>KRAJINA</w:t>
      </w:r>
    </w:p>
    <w:p>
      <w:pPr>
        <w:pStyle w:val="ListParagraph"/>
        <w:numPr>
          <w:ilvl w:val="0"/>
          <w:numId w:val="1"/>
        </w:numPr>
        <w:tabs>
          <w:tab w:pos="1024" w:val="left" w:leader="none"/>
          <w:tab w:pos="1025" w:val="left" w:leader="none"/>
        </w:tabs>
        <w:spacing w:line="244" w:lineRule="auto" w:before="79" w:after="0"/>
        <w:ind w:left="1024" w:right="143" w:hanging="852"/>
        <w:jc w:val="both"/>
        <w:rPr>
          <w:sz w:val="22"/>
        </w:rPr>
      </w:pPr>
      <w:r>
        <w:rPr>
          <w:sz w:val="22"/>
        </w:rPr>
        <w:t>Připouštět intenzivní rekreační využívání </w:t>
      </w:r>
      <w:r>
        <w:rPr>
          <w:b/>
          <w:sz w:val="22"/>
        </w:rPr>
        <w:t>příměstské krajiny </w:t>
      </w:r>
      <w:r>
        <w:rPr>
          <w:sz w:val="22"/>
        </w:rPr>
        <w:t>při respektování zásad ochrany přírody a</w:t>
      </w:r>
      <w:r>
        <w:rPr>
          <w:spacing w:val="-5"/>
          <w:sz w:val="22"/>
        </w:rPr>
        <w:t> </w:t>
      </w:r>
      <w:r>
        <w:rPr>
          <w:sz w:val="22"/>
        </w:rPr>
        <w:t>krajiny.</w:t>
      </w:r>
    </w:p>
    <w:p>
      <w:pPr>
        <w:pStyle w:val="ListParagraph"/>
        <w:numPr>
          <w:ilvl w:val="0"/>
          <w:numId w:val="1"/>
        </w:numPr>
        <w:tabs>
          <w:tab w:pos="1024" w:val="left" w:leader="none"/>
          <w:tab w:pos="1025" w:val="left" w:leader="none"/>
        </w:tabs>
        <w:spacing w:line="240" w:lineRule="auto" w:before="69" w:after="0"/>
        <w:ind w:left="1024" w:right="145" w:hanging="853"/>
        <w:jc w:val="both"/>
        <w:rPr>
          <w:sz w:val="22"/>
        </w:rPr>
      </w:pPr>
      <w:r>
        <w:rPr>
          <w:sz w:val="22"/>
        </w:rPr>
        <w:t>Pro rekreaci využívat </w:t>
      </w:r>
      <w:r>
        <w:rPr>
          <w:b/>
          <w:sz w:val="22"/>
        </w:rPr>
        <w:t>příměstské lesy </w:t>
      </w:r>
      <w:r>
        <w:rPr>
          <w:sz w:val="22"/>
        </w:rPr>
        <w:t>nad údolní nivou Lužické Nisy na úbočí Ovčího vrchu, tuto rekreační oblast s vazbou na železniční zastávku zatraktivnit vytvořením sítě lesních stezek včetně možnosti vybudování stezek pro single track a doplněním občanského a technického vybavení v uzlových</w:t>
      </w:r>
      <w:r>
        <w:rPr>
          <w:spacing w:val="-7"/>
          <w:sz w:val="22"/>
        </w:rPr>
        <w:t> </w:t>
      </w:r>
      <w:r>
        <w:rPr>
          <w:sz w:val="22"/>
        </w:rPr>
        <w:t>bodech,</w:t>
      </w:r>
    </w:p>
    <w:p>
      <w:pPr>
        <w:spacing w:after="0" w:line="240" w:lineRule="auto"/>
        <w:jc w:val="both"/>
        <w:rPr>
          <w:sz w:val="22"/>
        </w:rPr>
        <w:sectPr>
          <w:pgSz w:w="11900" w:h="16840"/>
          <w:pgMar w:header="561" w:footer="582" w:top="760" w:bottom="780" w:left="960" w:right="980"/>
        </w:sectPr>
      </w:pPr>
    </w:p>
    <w:p>
      <w:pPr>
        <w:pStyle w:val="BodyText"/>
        <w:spacing w:before="5"/>
        <w:ind w:left="0" w:firstLine="0"/>
        <w:jc w:val="left"/>
        <w:rPr>
          <w:sz w:val="21"/>
        </w:rPr>
      </w:pPr>
    </w:p>
    <w:p>
      <w:pPr>
        <w:pStyle w:val="ListParagraph"/>
        <w:numPr>
          <w:ilvl w:val="0"/>
          <w:numId w:val="2"/>
        </w:numPr>
        <w:tabs>
          <w:tab w:pos="1024" w:val="left" w:leader="none"/>
          <w:tab w:pos="1025" w:val="left" w:leader="none"/>
        </w:tabs>
        <w:spacing w:line="240" w:lineRule="auto" w:before="115" w:after="0"/>
        <w:ind w:left="1024" w:right="143" w:hanging="852"/>
        <w:jc w:val="both"/>
        <w:rPr>
          <w:sz w:val="22"/>
        </w:rPr>
      </w:pPr>
      <w:r>
        <w:rPr>
          <w:sz w:val="22"/>
        </w:rPr>
        <w:t>rekreační využívání lesů realizovat výhradně v lesích zvláštního určení, subkategorii příměstské a další lesy se zvýšenou rekreační</w:t>
      </w:r>
      <w:r>
        <w:rPr>
          <w:spacing w:val="-14"/>
          <w:sz w:val="22"/>
        </w:rPr>
        <w:t> </w:t>
      </w:r>
      <w:r>
        <w:rPr>
          <w:sz w:val="22"/>
        </w:rPr>
        <w:t>funkcí,</w:t>
      </w:r>
    </w:p>
    <w:p>
      <w:pPr>
        <w:pStyle w:val="ListParagraph"/>
        <w:numPr>
          <w:ilvl w:val="0"/>
          <w:numId w:val="2"/>
        </w:numPr>
        <w:tabs>
          <w:tab w:pos="1024" w:val="left" w:leader="none"/>
          <w:tab w:pos="1025" w:val="left" w:leader="none"/>
        </w:tabs>
        <w:spacing w:line="240" w:lineRule="auto" w:before="78" w:after="0"/>
        <w:ind w:left="1024" w:right="146" w:hanging="853"/>
        <w:jc w:val="both"/>
        <w:rPr>
          <w:sz w:val="22"/>
        </w:rPr>
      </w:pPr>
      <w:r>
        <w:rPr>
          <w:sz w:val="22"/>
        </w:rPr>
        <w:t>zamezovat velkoplošnému zalesňování prostoru příměstské krajiny mezi zástavbou a stávajícími lesními</w:t>
      </w:r>
      <w:r>
        <w:rPr>
          <w:spacing w:val="-1"/>
          <w:sz w:val="22"/>
        </w:rPr>
        <w:t> </w:t>
      </w:r>
      <w:r>
        <w:rPr>
          <w:sz w:val="22"/>
        </w:rPr>
        <w:t>okraji.</w:t>
      </w:r>
    </w:p>
    <w:p>
      <w:pPr>
        <w:pStyle w:val="ListParagraph"/>
        <w:numPr>
          <w:ilvl w:val="0"/>
          <w:numId w:val="1"/>
        </w:numPr>
        <w:tabs>
          <w:tab w:pos="1024" w:val="left" w:leader="none"/>
          <w:tab w:pos="1025" w:val="left" w:leader="none"/>
        </w:tabs>
        <w:spacing w:line="242" w:lineRule="auto" w:before="117" w:after="0"/>
        <w:ind w:left="1024" w:right="144" w:hanging="852"/>
        <w:jc w:val="both"/>
        <w:rPr>
          <w:sz w:val="22"/>
        </w:rPr>
      </w:pPr>
      <w:r>
        <w:rPr>
          <w:sz w:val="22"/>
        </w:rPr>
        <w:t>Rozvíjet </w:t>
      </w:r>
      <w:r>
        <w:rPr>
          <w:b/>
          <w:sz w:val="22"/>
        </w:rPr>
        <w:t>zemědělskou krajinu </w:t>
      </w:r>
      <w:r>
        <w:rPr>
          <w:sz w:val="22"/>
        </w:rPr>
        <w:t>jako polyfunkční nezastavěné území, zemědělskou výrobu orientovat především na zachování alespoň extenzivní údržby ploch i za cenu nezužitkování</w:t>
      </w:r>
      <w:r>
        <w:rPr>
          <w:spacing w:val="-4"/>
          <w:sz w:val="22"/>
        </w:rPr>
        <w:t> </w:t>
      </w:r>
      <w:r>
        <w:rPr>
          <w:sz w:val="22"/>
        </w:rPr>
        <w:t>biomasy,</w:t>
      </w:r>
    </w:p>
    <w:p>
      <w:pPr>
        <w:pStyle w:val="ListParagraph"/>
        <w:numPr>
          <w:ilvl w:val="0"/>
          <w:numId w:val="2"/>
        </w:numPr>
        <w:tabs>
          <w:tab w:pos="1024" w:val="left" w:leader="none"/>
          <w:tab w:pos="1025" w:val="left" w:leader="none"/>
        </w:tabs>
        <w:spacing w:line="240" w:lineRule="auto" w:before="55" w:after="0"/>
        <w:ind w:left="1024" w:right="145" w:hanging="852"/>
        <w:jc w:val="both"/>
        <w:rPr>
          <w:sz w:val="22"/>
        </w:rPr>
      </w:pPr>
      <w:r>
        <w:rPr>
          <w:sz w:val="22"/>
        </w:rPr>
        <w:t>případné </w:t>
      </w:r>
      <w:r>
        <w:rPr>
          <w:b/>
          <w:sz w:val="22"/>
        </w:rPr>
        <w:t>pěstování biomasy </w:t>
      </w:r>
      <w:r>
        <w:rPr>
          <w:sz w:val="22"/>
        </w:rPr>
        <w:t>a rychlerostoucích dřevin pro energetické účely povolovat pouze mimo ovlivnitelné vzdálenosti od území v zájmech ochrany přírody - V-ZCHÚ, m-ZCHÚ,</w:t>
      </w:r>
      <w:r>
        <w:rPr>
          <w:spacing w:val="-2"/>
          <w:sz w:val="22"/>
        </w:rPr>
        <w:t> </w:t>
      </w:r>
      <w:r>
        <w:rPr>
          <w:sz w:val="22"/>
        </w:rPr>
        <w:t>ÚSES.</w:t>
      </w:r>
    </w:p>
    <w:p>
      <w:pPr>
        <w:pStyle w:val="ListParagraph"/>
        <w:numPr>
          <w:ilvl w:val="0"/>
          <w:numId w:val="1"/>
        </w:numPr>
        <w:tabs>
          <w:tab w:pos="1024" w:val="left" w:leader="none"/>
          <w:tab w:pos="1025" w:val="left" w:leader="none"/>
        </w:tabs>
        <w:spacing w:line="240" w:lineRule="auto" w:before="118" w:after="0"/>
        <w:ind w:left="1024" w:right="146" w:hanging="853"/>
        <w:jc w:val="both"/>
        <w:rPr>
          <w:sz w:val="22"/>
        </w:rPr>
      </w:pPr>
      <w:r>
        <w:rPr>
          <w:sz w:val="22"/>
        </w:rPr>
        <w:t>Zachovat a propojovat </w:t>
      </w:r>
      <w:r>
        <w:rPr>
          <w:b/>
          <w:sz w:val="22"/>
        </w:rPr>
        <w:t>nezastavitelné proluky </w:t>
      </w:r>
      <w:r>
        <w:rPr>
          <w:sz w:val="22"/>
        </w:rPr>
        <w:t>sídelní a krajinné zeleně do souvislých pásů fragmentací vymezení zastavitelných ploch a vymezováním jejich nezastavěných částí v podrobné</w:t>
      </w:r>
      <w:r>
        <w:rPr>
          <w:spacing w:val="-6"/>
          <w:sz w:val="22"/>
        </w:rPr>
        <w:t> </w:t>
      </w:r>
      <w:r>
        <w:rPr>
          <w:sz w:val="22"/>
        </w:rPr>
        <w:t>dokumentaci.</w:t>
      </w:r>
    </w:p>
    <w:p>
      <w:pPr>
        <w:pStyle w:val="ListParagraph"/>
        <w:numPr>
          <w:ilvl w:val="0"/>
          <w:numId w:val="1"/>
        </w:numPr>
        <w:tabs>
          <w:tab w:pos="1024" w:val="left" w:leader="none"/>
          <w:tab w:pos="1025" w:val="left" w:leader="none"/>
        </w:tabs>
        <w:spacing w:line="242" w:lineRule="auto" w:before="120" w:after="0"/>
        <w:ind w:left="1024" w:right="145" w:hanging="852"/>
        <w:jc w:val="both"/>
        <w:rPr>
          <w:sz w:val="22"/>
        </w:rPr>
      </w:pPr>
      <w:r>
        <w:rPr>
          <w:sz w:val="22"/>
        </w:rPr>
        <w:t>Posilovat </w:t>
      </w:r>
      <w:r>
        <w:rPr>
          <w:b/>
          <w:sz w:val="22"/>
        </w:rPr>
        <w:t>vodní fenomén </w:t>
      </w:r>
      <w:r>
        <w:rPr>
          <w:sz w:val="22"/>
        </w:rPr>
        <w:t>území úpravami především Lužické Nisy a Jeřice ostatních  toků a nádrží včetně zakládání nových, rozvíjet nábřeží za účelem zpřístupnění a zapojení vodních ploch do města s přihlédnutím k potřebám protipovodňových</w:t>
      </w:r>
      <w:r>
        <w:rPr>
          <w:spacing w:val="-10"/>
          <w:sz w:val="22"/>
        </w:rPr>
        <w:t> </w:t>
      </w:r>
      <w:r>
        <w:rPr>
          <w:sz w:val="22"/>
        </w:rPr>
        <w:t>opatření.</w:t>
      </w:r>
    </w:p>
    <w:p>
      <w:pPr>
        <w:pStyle w:val="Heading2"/>
        <w:numPr>
          <w:ilvl w:val="2"/>
          <w:numId w:val="4"/>
        </w:numPr>
        <w:tabs>
          <w:tab w:pos="1024" w:val="left" w:leader="none"/>
          <w:tab w:pos="1025" w:val="left" w:leader="none"/>
        </w:tabs>
        <w:spacing w:line="240" w:lineRule="auto" w:before="172" w:after="0"/>
        <w:ind w:left="1024" w:right="0" w:hanging="852"/>
        <w:jc w:val="left"/>
      </w:pPr>
      <w:r>
        <w:rPr/>
        <w:t>DOPRAVNÍ</w:t>
      </w:r>
      <w:r>
        <w:rPr>
          <w:spacing w:val="-2"/>
        </w:rPr>
        <w:t> </w:t>
      </w:r>
      <w:r>
        <w:rPr/>
        <w:t>KOSTRA</w:t>
      </w:r>
    </w:p>
    <w:p>
      <w:pPr>
        <w:pStyle w:val="ListParagraph"/>
        <w:numPr>
          <w:ilvl w:val="0"/>
          <w:numId w:val="1"/>
        </w:numPr>
        <w:tabs>
          <w:tab w:pos="1024" w:val="left" w:leader="none"/>
          <w:tab w:pos="1025" w:val="left" w:leader="none"/>
        </w:tabs>
        <w:spacing w:line="240" w:lineRule="auto" w:before="121" w:after="0"/>
        <w:ind w:left="1025" w:right="145" w:hanging="852"/>
        <w:jc w:val="left"/>
        <w:rPr>
          <w:sz w:val="22"/>
        </w:rPr>
      </w:pPr>
      <w:r>
        <w:rPr>
          <w:b/>
          <w:sz w:val="22"/>
        </w:rPr>
        <w:t>Dopravní infrastrukturu </w:t>
      </w:r>
      <w:r>
        <w:rPr>
          <w:sz w:val="22"/>
        </w:rPr>
        <w:t>rozvíjet nad systémem tvořeným severojižním koridorem doplněným modifikovaným rastrem vymezujícím vnitřní</w:t>
      </w:r>
      <w:r>
        <w:rPr>
          <w:spacing w:val="-4"/>
          <w:sz w:val="22"/>
        </w:rPr>
        <w:t> </w:t>
      </w:r>
      <w:r>
        <w:rPr>
          <w:sz w:val="22"/>
        </w:rPr>
        <w:t>okruh,</w:t>
      </w:r>
    </w:p>
    <w:p>
      <w:pPr>
        <w:pStyle w:val="ListParagraph"/>
        <w:numPr>
          <w:ilvl w:val="0"/>
          <w:numId w:val="2"/>
        </w:numPr>
        <w:tabs>
          <w:tab w:pos="1024" w:val="left" w:leader="none"/>
          <w:tab w:pos="1026" w:val="left" w:leader="none"/>
        </w:tabs>
        <w:spacing w:line="240" w:lineRule="auto" w:before="62" w:after="0"/>
        <w:ind w:left="1025" w:right="145" w:hanging="852"/>
        <w:jc w:val="left"/>
        <w:rPr>
          <w:sz w:val="22"/>
        </w:rPr>
      </w:pPr>
      <w:r>
        <w:rPr>
          <w:sz w:val="22"/>
        </w:rPr>
        <w:t>pro železniční dopravu stabilizovat plochy dopravní infrastruktury–drážní (D), chránit rozvojové</w:t>
      </w:r>
      <w:r>
        <w:rPr>
          <w:spacing w:val="-1"/>
          <w:sz w:val="22"/>
        </w:rPr>
        <w:t> </w:t>
      </w:r>
      <w:r>
        <w:rPr>
          <w:sz w:val="22"/>
        </w:rPr>
        <w:t>koridory,</w:t>
      </w:r>
    </w:p>
    <w:p>
      <w:pPr>
        <w:pStyle w:val="ListParagraph"/>
        <w:numPr>
          <w:ilvl w:val="0"/>
          <w:numId w:val="2"/>
        </w:numPr>
        <w:tabs>
          <w:tab w:pos="1024" w:val="left" w:leader="none"/>
          <w:tab w:pos="1026" w:val="left" w:leader="none"/>
        </w:tabs>
        <w:spacing w:line="240" w:lineRule="auto" w:before="60" w:after="0"/>
        <w:ind w:left="1025" w:right="0" w:hanging="853"/>
        <w:jc w:val="left"/>
        <w:rPr>
          <w:sz w:val="22"/>
        </w:rPr>
      </w:pPr>
      <w:r>
        <w:rPr>
          <w:sz w:val="22"/>
        </w:rPr>
        <w:t>rozšiřovat síť tras pro bezmotorovou dopravu na plochách veřejných prostranství</w:t>
      </w:r>
      <w:r>
        <w:rPr>
          <w:spacing w:val="-23"/>
          <w:sz w:val="22"/>
        </w:rPr>
        <w:t> </w:t>
      </w:r>
      <w:r>
        <w:rPr>
          <w:sz w:val="22"/>
        </w:rPr>
        <w:t>(P),</w:t>
      </w:r>
    </w:p>
    <w:p>
      <w:pPr>
        <w:pStyle w:val="ListParagraph"/>
        <w:numPr>
          <w:ilvl w:val="0"/>
          <w:numId w:val="2"/>
        </w:numPr>
        <w:tabs>
          <w:tab w:pos="1024" w:val="left" w:leader="none"/>
          <w:tab w:pos="1026" w:val="left" w:leader="none"/>
        </w:tabs>
        <w:spacing w:line="240" w:lineRule="auto" w:before="58" w:after="0"/>
        <w:ind w:left="1025" w:right="0" w:hanging="853"/>
        <w:jc w:val="left"/>
        <w:rPr>
          <w:sz w:val="22"/>
        </w:rPr>
      </w:pPr>
      <w:r>
        <w:rPr>
          <w:sz w:val="22"/>
        </w:rPr>
        <w:t>na nově vymezených trasách posilovat systém veřejné dopravy osob</w:t>
      </w:r>
      <w:r>
        <w:rPr>
          <w:spacing w:val="-11"/>
          <w:sz w:val="22"/>
        </w:rPr>
        <w:t> </w:t>
      </w:r>
      <w:r>
        <w:rPr>
          <w:sz w:val="22"/>
        </w:rPr>
        <w:t>(VDO),</w:t>
      </w:r>
    </w:p>
    <w:p>
      <w:pPr>
        <w:pStyle w:val="ListParagraph"/>
        <w:numPr>
          <w:ilvl w:val="0"/>
          <w:numId w:val="2"/>
        </w:numPr>
        <w:tabs>
          <w:tab w:pos="1024" w:val="left" w:leader="none"/>
          <w:tab w:pos="1026" w:val="left" w:leader="none"/>
        </w:tabs>
        <w:spacing w:line="240" w:lineRule="auto" w:before="58" w:after="0"/>
        <w:ind w:left="1025" w:right="0" w:hanging="853"/>
        <w:jc w:val="left"/>
        <w:rPr>
          <w:sz w:val="22"/>
        </w:rPr>
      </w:pPr>
      <w:r>
        <w:rPr>
          <w:sz w:val="22"/>
        </w:rPr>
        <w:t>záchytná parkoviště realizovat na plochách dopravní infrastruktury-vybavení</w:t>
      </w:r>
      <w:r>
        <w:rPr>
          <w:spacing w:val="-16"/>
          <w:sz w:val="22"/>
        </w:rPr>
        <w:t> </w:t>
      </w:r>
      <w:r>
        <w:rPr>
          <w:sz w:val="22"/>
        </w:rPr>
        <w:t>(G),</w:t>
      </w:r>
    </w:p>
    <w:p>
      <w:pPr>
        <w:pStyle w:val="ListParagraph"/>
        <w:numPr>
          <w:ilvl w:val="0"/>
          <w:numId w:val="2"/>
        </w:numPr>
        <w:tabs>
          <w:tab w:pos="1024" w:val="left" w:leader="none"/>
          <w:tab w:pos="1026" w:val="left" w:leader="none"/>
        </w:tabs>
        <w:spacing w:line="240" w:lineRule="auto" w:before="60" w:after="0"/>
        <w:ind w:left="1025" w:right="0" w:hanging="853"/>
        <w:jc w:val="left"/>
        <w:rPr>
          <w:sz w:val="22"/>
        </w:rPr>
      </w:pPr>
      <w:r>
        <w:rPr>
          <w:sz w:val="22"/>
        </w:rPr>
        <w:t>agroletiště Vysoká stabilizovat na stávající ploše dopravní infrastruktury–letecké</w:t>
      </w:r>
      <w:r>
        <w:rPr>
          <w:spacing w:val="-21"/>
          <w:sz w:val="22"/>
        </w:rPr>
        <w:t> </w:t>
      </w:r>
      <w:r>
        <w:rPr>
          <w:sz w:val="22"/>
        </w:rPr>
        <w:t>(F).</w:t>
      </w:r>
    </w:p>
    <w:p>
      <w:pPr>
        <w:pStyle w:val="ListParagraph"/>
        <w:numPr>
          <w:ilvl w:val="0"/>
          <w:numId w:val="1"/>
        </w:numPr>
        <w:tabs>
          <w:tab w:pos="1024" w:val="left" w:leader="none"/>
          <w:tab w:pos="1026" w:val="left" w:leader="none"/>
        </w:tabs>
        <w:spacing w:line="244" w:lineRule="auto" w:before="116" w:after="0"/>
        <w:ind w:left="1025" w:right="143" w:hanging="852"/>
        <w:jc w:val="both"/>
        <w:rPr>
          <w:sz w:val="22"/>
        </w:rPr>
      </w:pPr>
      <w:r>
        <w:rPr>
          <w:b/>
          <w:sz w:val="22"/>
        </w:rPr>
        <w:t>Veřejná prostranství </w:t>
      </w:r>
      <w:r>
        <w:rPr>
          <w:sz w:val="22"/>
        </w:rPr>
        <w:t>územně stabilizovat v uceleném systému daném minimálně vymezením v Hlavním výkresu</w:t>
      </w:r>
      <w:r>
        <w:rPr>
          <w:spacing w:val="-1"/>
          <w:sz w:val="22"/>
        </w:rPr>
        <w:t> </w:t>
      </w:r>
      <w:r>
        <w:rPr>
          <w:sz w:val="22"/>
        </w:rPr>
        <w:t>(2),</w:t>
      </w:r>
    </w:p>
    <w:p>
      <w:pPr>
        <w:pStyle w:val="ListParagraph"/>
        <w:numPr>
          <w:ilvl w:val="0"/>
          <w:numId w:val="2"/>
        </w:numPr>
        <w:tabs>
          <w:tab w:pos="1024" w:val="left" w:leader="none"/>
          <w:tab w:pos="1026" w:val="left" w:leader="none"/>
        </w:tabs>
        <w:spacing w:line="240" w:lineRule="auto" w:before="53" w:after="0"/>
        <w:ind w:left="1025" w:right="146" w:hanging="852"/>
        <w:jc w:val="both"/>
        <w:rPr>
          <w:sz w:val="22"/>
        </w:rPr>
      </w:pPr>
      <w:r>
        <w:rPr>
          <w:sz w:val="22"/>
        </w:rPr>
        <w:t>doplňovat další veřejná prostranství v rámci jednotlivých stabilizovaných a rozvojových ploch v souladu s obecně závaznými předpisy a podrobnější</w:t>
      </w:r>
      <w:r>
        <w:rPr>
          <w:spacing w:val="-16"/>
          <w:sz w:val="22"/>
        </w:rPr>
        <w:t> </w:t>
      </w:r>
      <w:r>
        <w:rPr>
          <w:sz w:val="22"/>
        </w:rPr>
        <w:t>dokumentací,</w:t>
      </w:r>
    </w:p>
    <w:p>
      <w:pPr>
        <w:pStyle w:val="ListParagraph"/>
        <w:numPr>
          <w:ilvl w:val="0"/>
          <w:numId w:val="2"/>
        </w:numPr>
        <w:tabs>
          <w:tab w:pos="1024" w:val="left" w:leader="none"/>
          <w:tab w:pos="1026" w:val="left" w:leader="none"/>
        </w:tabs>
        <w:spacing w:line="240" w:lineRule="auto" w:before="59" w:after="0"/>
        <w:ind w:left="1025" w:right="142" w:hanging="852"/>
        <w:jc w:val="both"/>
        <w:rPr>
          <w:sz w:val="22"/>
        </w:rPr>
      </w:pPr>
      <w:r>
        <w:rPr>
          <w:sz w:val="22"/>
        </w:rPr>
        <w:t>výstavbou na stabilizovaných plochách neomezovat funkčnost a dostupnost veřejných prostranství, zejména komunikací, hřišť a veřejné zeleně, které jsou nedílnou součástí těchto</w:t>
      </w:r>
      <w:r>
        <w:rPr>
          <w:spacing w:val="-2"/>
          <w:sz w:val="22"/>
        </w:rPr>
        <w:t> </w:t>
      </w:r>
      <w:r>
        <w:rPr>
          <w:sz w:val="22"/>
        </w:rPr>
        <w:t>ploch.</w:t>
      </w:r>
    </w:p>
    <w:p>
      <w:pPr>
        <w:pStyle w:val="Heading2"/>
        <w:numPr>
          <w:ilvl w:val="2"/>
          <w:numId w:val="4"/>
        </w:numPr>
        <w:tabs>
          <w:tab w:pos="1024" w:val="left" w:leader="none"/>
          <w:tab w:pos="1026" w:val="left" w:leader="none"/>
        </w:tabs>
        <w:spacing w:line="240" w:lineRule="auto" w:before="177" w:after="0"/>
        <w:ind w:left="1025" w:right="0" w:hanging="853"/>
        <w:jc w:val="left"/>
      </w:pPr>
      <w:r>
        <w:rPr/>
        <w:t>TECHNICKÁ</w:t>
      </w:r>
      <w:r>
        <w:rPr>
          <w:spacing w:val="-2"/>
        </w:rPr>
        <w:t> </w:t>
      </w:r>
      <w:r>
        <w:rPr/>
        <w:t>INFRASTRUKTURA</w:t>
      </w:r>
    </w:p>
    <w:p>
      <w:pPr>
        <w:pStyle w:val="ListParagraph"/>
        <w:numPr>
          <w:ilvl w:val="0"/>
          <w:numId w:val="1"/>
        </w:numPr>
        <w:tabs>
          <w:tab w:pos="1024" w:val="left" w:leader="none"/>
          <w:tab w:pos="1026" w:val="left" w:leader="none"/>
        </w:tabs>
        <w:spacing w:line="240" w:lineRule="auto" w:before="120" w:after="0"/>
        <w:ind w:left="1025" w:right="0" w:hanging="853"/>
        <w:jc w:val="left"/>
        <w:rPr>
          <w:sz w:val="22"/>
        </w:rPr>
      </w:pPr>
      <w:r>
        <w:rPr>
          <w:b/>
          <w:sz w:val="22"/>
        </w:rPr>
        <w:t>Technickou infrastrukturu </w:t>
      </w:r>
      <w:r>
        <w:rPr>
          <w:sz w:val="22"/>
        </w:rPr>
        <w:t>města rozvíjet nad stabilizovanými</w:t>
      </w:r>
      <w:r>
        <w:rPr>
          <w:spacing w:val="-7"/>
          <w:sz w:val="22"/>
        </w:rPr>
        <w:t> </w:t>
      </w:r>
      <w:r>
        <w:rPr>
          <w:sz w:val="22"/>
        </w:rPr>
        <w:t>systémy,</w:t>
      </w:r>
    </w:p>
    <w:p>
      <w:pPr>
        <w:pStyle w:val="ListParagraph"/>
        <w:numPr>
          <w:ilvl w:val="0"/>
          <w:numId w:val="2"/>
        </w:numPr>
        <w:tabs>
          <w:tab w:pos="1024" w:val="left" w:leader="none"/>
          <w:tab w:pos="1026" w:val="left" w:leader="none"/>
        </w:tabs>
        <w:spacing w:line="240" w:lineRule="auto" w:before="62" w:after="0"/>
        <w:ind w:left="1025" w:right="0" w:hanging="853"/>
        <w:jc w:val="left"/>
        <w:rPr>
          <w:sz w:val="22"/>
        </w:rPr>
      </w:pPr>
      <w:r>
        <w:rPr>
          <w:sz w:val="22"/>
        </w:rPr>
        <w:t>minimalizovat využití lokálních zdrojů pitné</w:t>
      </w:r>
      <w:r>
        <w:rPr>
          <w:spacing w:val="-2"/>
          <w:sz w:val="22"/>
        </w:rPr>
        <w:t> </w:t>
      </w:r>
      <w:r>
        <w:rPr>
          <w:sz w:val="22"/>
        </w:rPr>
        <w:t>vody,</w:t>
      </w:r>
    </w:p>
    <w:p>
      <w:pPr>
        <w:pStyle w:val="ListParagraph"/>
        <w:numPr>
          <w:ilvl w:val="0"/>
          <w:numId w:val="2"/>
        </w:numPr>
        <w:tabs>
          <w:tab w:pos="1024" w:val="left" w:leader="none"/>
          <w:tab w:pos="1026" w:val="left" w:leader="none"/>
        </w:tabs>
        <w:spacing w:line="240" w:lineRule="auto" w:before="58" w:after="0"/>
        <w:ind w:left="1025" w:right="0" w:hanging="853"/>
        <w:jc w:val="left"/>
        <w:rPr>
          <w:sz w:val="22"/>
        </w:rPr>
      </w:pPr>
      <w:r>
        <w:rPr>
          <w:sz w:val="22"/>
        </w:rPr>
        <w:t>odvádět maximální množství splaškových odpadních vod na centrální</w:t>
      </w:r>
      <w:r>
        <w:rPr>
          <w:spacing w:val="-11"/>
          <w:sz w:val="22"/>
        </w:rPr>
        <w:t> </w:t>
      </w:r>
      <w:r>
        <w:rPr>
          <w:sz w:val="22"/>
        </w:rPr>
        <w:t>ČOV,</w:t>
      </w:r>
    </w:p>
    <w:p>
      <w:pPr>
        <w:pStyle w:val="ListParagraph"/>
        <w:numPr>
          <w:ilvl w:val="0"/>
          <w:numId w:val="2"/>
        </w:numPr>
        <w:tabs>
          <w:tab w:pos="1024" w:val="left" w:leader="none"/>
          <w:tab w:pos="1026" w:val="left" w:leader="none"/>
        </w:tabs>
        <w:spacing w:line="240" w:lineRule="auto" w:before="60" w:after="0"/>
        <w:ind w:left="1025" w:right="0" w:hanging="853"/>
        <w:jc w:val="left"/>
        <w:rPr>
          <w:sz w:val="22"/>
        </w:rPr>
      </w:pPr>
      <w:r>
        <w:rPr>
          <w:sz w:val="22"/>
        </w:rPr>
        <w:t>zajišťovat maximální vsakování srážkových vod v místě jejich</w:t>
      </w:r>
      <w:r>
        <w:rPr>
          <w:spacing w:val="-8"/>
          <w:sz w:val="22"/>
        </w:rPr>
        <w:t> </w:t>
      </w:r>
      <w:r>
        <w:rPr>
          <w:sz w:val="22"/>
        </w:rPr>
        <w:t>vzniku,</w:t>
      </w:r>
    </w:p>
    <w:p>
      <w:pPr>
        <w:pStyle w:val="ListParagraph"/>
        <w:numPr>
          <w:ilvl w:val="0"/>
          <w:numId w:val="2"/>
        </w:numPr>
        <w:tabs>
          <w:tab w:pos="1024" w:val="left" w:leader="none"/>
          <w:tab w:pos="1026" w:val="left" w:leader="none"/>
        </w:tabs>
        <w:spacing w:line="240" w:lineRule="auto" w:before="58" w:after="0"/>
        <w:ind w:left="1025" w:right="143" w:hanging="852"/>
        <w:jc w:val="left"/>
        <w:rPr>
          <w:sz w:val="22"/>
        </w:rPr>
      </w:pPr>
      <w:r>
        <w:rPr>
          <w:sz w:val="22"/>
        </w:rPr>
        <w:t>stabilizovat základní zdroje a páteřní sítě dominantních energií pro zajištění dostatečné kapacity a spolehlivosti jejich</w:t>
      </w:r>
      <w:r>
        <w:rPr>
          <w:spacing w:val="-3"/>
          <w:sz w:val="22"/>
        </w:rPr>
        <w:t> </w:t>
      </w:r>
      <w:r>
        <w:rPr>
          <w:sz w:val="22"/>
        </w:rPr>
        <w:t>dodávek,</w:t>
      </w:r>
    </w:p>
    <w:p>
      <w:pPr>
        <w:pStyle w:val="ListParagraph"/>
        <w:numPr>
          <w:ilvl w:val="0"/>
          <w:numId w:val="2"/>
        </w:numPr>
        <w:tabs>
          <w:tab w:pos="1024" w:val="left" w:leader="none"/>
          <w:tab w:pos="1026" w:val="left" w:leader="none"/>
        </w:tabs>
        <w:spacing w:line="240" w:lineRule="auto" w:before="60" w:after="0"/>
        <w:ind w:left="1025" w:right="0" w:hanging="853"/>
        <w:jc w:val="left"/>
        <w:rPr>
          <w:sz w:val="22"/>
        </w:rPr>
      </w:pPr>
      <w:r>
        <w:rPr>
          <w:sz w:val="22"/>
        </w:rPr>
        <w:t>prosazovat princip maximálně dvoucestného zásobování</w:t>
      </w:r>
      <w:r>
        <w:rPr>
          <w:spacing w:val="-6"/>
          <w:sz w:val="22"/>
        </w:rPr>
        <w:t> </w:t>
      </w:r>
      <w:r>
        <w:rPr>
          <w:sz w:val="22"/>
        </w:rPr>
        <w:t>energiemi.</w:t>
      </w:r>
    </w:p>
    <w:p>
      <w:pPr>
        <w:spacing w:after="0" w:line="240" w:lineRule="auto"/>
        <w:jc w:val="left"/>
        <w:rPr>
          <w:sz w:val="22"/>
        </w:rPr>
        <w:sectPr>
          <w:pgSz w:w="11900" w:h="16840"/>
          <w:pgMar w:header="561" w:footer="582" w:top="760" w:bottom="780" w:left="960" w:right="980"/>
        </w:sectPr>
      </w:pPr>
    </w:p>
    <w:p>
      <w:pPr>
        <w:pStyle w:val="BodyText"/>
        <w:ind w:left="0" w:firstLine="0"/>
        <w:jc w:val="left"/>
        <w:rPr>
          <w:sz w:val="20"/>
        </w:rPr>
      </w:pPr>
    </w:p>
    <w:p>
      <w:pPr>
        <w:pStyle w:val="BodyText"/>
        <w:spacing w:before="7"/>
        <w:ind w:left="0" w:firstLine="0"/>
        <w:jc w:val="left"/>
        <w:rPr>
          <w:sz w:val="11"/>
        </w:rPr>
      </w:pPr>
    </w:p>
    <w:p>
      <w:pPr>
        <w:pStyle w:val="BodyText"/>
        <w:ind w:left="144" w:firstLine="0"/>
        <w:jc w:val="left"/>
        <w:rPr>
          <w:sz w:val="20"/>
        </w:rPr>
      </w:pPr>
      <w:r>
        <w:rPr>
          <w:sz w:val="20"/>
        </w:rPr>
        <w:pict>
          <v:shape style="width:484.8pt;height:15pt;mso-position-horizontal-relative:char;mso-position-vertical-relative:line" type="#_x0000_t202" filled="true" fillcolor="#ccffff" stroked="false">
            <w10:anchorlock/>
            <v:textbox inset="0,0,0,0">
              <w:txbxContent>
                <w:p>
                  <w:pPr>
                    <w:tabs>
                      <w:tab w:pos="880" w:val="left" w:leader="none"/>
                    </w:tabs>
                    <w:spacing w:line="295" w:lineRule="exact" w:before="0"/>
                    <w:ind w:left="28" w:right="0" w:firstLine="0"/>
                    <w:jc w:val="left"/>
                    <w:rPr>
                      <w:b/>
                      <w:sz w:val="26"/>
                    </w:rPr>
                  </w:pPr>
                  <w:r>
                    <w:rPr>
                      <w:b/>
                      <w:sz w:val="26"/>
                    </w:rPr>
                    <w:t>C.3</w:t>
                    <w:tab/>
                    <w:t>NÁVRH ZASTAVITELNÝCH PLOCH A PLOCH</w:t>
                  </w:r>
                  <w:r>
                    <w:rPr>
                      <w:b/>
                      <w:spacing w:val="1"/>
                      <w:sz w:val="26"/>
                    </w:rPr>
                    <w:t> </w:t>
                  </w:r>
                  <w:r>
                    <w:rPr>
                      <w:b/>
                      <w:sz w:val="26"/>
                    </w:rPr>
                    <w:t>PŘESTAVBY</w:t>
                  </w:r>
                </w:p>
              </w:txbxContent>
            </v:textbox>
            <v:fill type="solid"/>
          </v:shape>
        </w:pict>
      </w:r>
      <w:r>
        <w:rPr>
          <w:sz w:val="20"/>
        </w:rPr>
      </w:r>
    </w:p>
    <w:p>
      <w:pPr>
        <w:spacing w:line="207" w:lineRule="exact" w:before="99"/>
        <w:ind w:left="172" w:right="0" w:firstLine="0"/>
        <w:jc w:val="left"/>
        <w:rPr>
          <w:b/>
          <w:sz w:val="18"/>
        </w:rPr>
      </w:pPr>
      <w:r>
        <w:rPr>
          <w:b/>
          <w:sz w:val="18"/>
        </w:rPr>
        <w:t>Vysvětlení podmíněně přípustného využití ploch v následujících tabulkách:</w:t>
      </w:r>
    </w:p>
    <w:p>
      <w:pPr>
        <w:spacing w:line="207" w:lineRule="exact" w:before="0"/>
        <w:ind w:left="172" w:right="0" w:firstLine="0"/>
        <w:jc w:val="left"/>
        <w:rPr>
          <w:sz w:val="18"/>
        </w:rPr>
      </w:pPr>
      <w:r>
        <w:rPr>
          <w:b/>
          <w:sz w:val="18"/>
        </w:rPr>
        <w:t>podmínky: </w:t>
      </w:r>
      <w:r>
        <w:rPr>
          <w:sz w:val="18"/>
        </w:rPr>
        <w:t>(platí jednotně pro celou vymezenou plochu)</w:t>
      </w:r>
    </w:p>
    <w:p>
      <w:pPr>
        <w:tabs>
          <w:tab w:pos="1024" w:val="left" w:leader="none"/>
        </w:tabs>
        <w:spacing w:line="247" w:lineRule="auto" w:before="62"/>
        <w:ind w:left="1024" w:right="147" w:hanging="852"/>
        <w:jc w:val="left"/>
        <w:rPr>
          <w:sz w:val="18"/>
        </w:rPr>
      </w:pPr>
      <w:r>
        <w:rPr>
          <w:b/>
          <w:sz w:val="18"/>
        </w:rPr>
        <w:t>CH</w:t>
        <w:tab/>
      </w:r>
      <w:r>
        <w:rPr>
          <w:sz w:val="18"/>
        </w:rPr>
        <w:t>v dalších stupních projektové přípravy prokázat, že využití plochy neovlivní negativně zvláště chráněné druhy rostlin a</w:t>
      </w:r>
      <w:r>
        <w:rPr>
          <w:spacing w:val="-2"/>
          <w:sz w:val="18"/>
        </w:rPr>
        <w:t> </w:t>
      </w:r>
      <w:r>
        <w:rPr>
          <w:sz w:val="18"/>
        </w:rPr>
        <w:t>živočichů</w:t>
      </w:r>
    </w:p>
    <w:p>
      <w:pPr>
        <w:tabs>
          <w:tab w:pos="1024" w:val="left" w:leader="none"/>
        </w:tabs>
        <w:spacing w:line="247" w:lineRule="auto" w:before="8"/>
        <w:ind w:left="1024" w:right="147" w:hanging="852"/>
        <w:jc w:val="left"/>
        <w:rPr>
          <w:sz w:val="18"/>
        </w:rPr>
      </w:pPr>
      <w:r>
        <w:rPr>
          <w:b/>
          <w:sz w:val="18"/>
        </w:rPr>
        <w:t>BK</w:t>
        <w:tab/>
      </w:r>
      <w:r>
        <w:rPr>
          <w:sz w:val="18"/>
        </w:rPr>
        <w:t>v dalších stupních projektové přípravy vytvořit podmínky pro funkčnost prvků ÚSES plošným vymezením biokoridorů o šířce odpovídající jejich biogeografickému</w:t>
      </w:r>
      <w:r>
        <w:rPr>
          <w:spacing w:val="-7"/>
          <w:sz w:val="18"/>
        </w:rPr>
        <w:t> </w:t>
      </w:r>
      <w:r>
        <w:rPr>
          <w:sz w:val="18"/>
        </w:rPr>
        <w:t>významu</w:t>
      </w:r>
    </w:p>
    <w:p>
      <w:pPr>
        <w:tabs>
          <w:tab w:pos="1024" w:val="left" w:leader="none"/>
        </w:tabs>
        <w:spacing w:line="247" w:lineRule="auto" w:before="8"/>
        <w:ind w:left="1024" w:right="147" w:hanging="852"/>
        <w:jc w:val="left"/>
        <w:rPr>
          <w:sz w:val="18"/>
        </w:rPr>
      </w:pPr>
      <w:r>
        <w:rPr>
          <w:b/>
          <w:sz w:val="18"/>
        </w:rPr>
        <w:t>OK</w:t>
        <w:tab/>
      </w:r>
      <w:r>
        <w:rPr>
          <w:sz w:val="18"/>
        </w:rPr>
        <w:t>v dalších stupních projektové přípravy vytvořit podmínky pro umístění přilehlých navržených komunikací vč. navržených úseků bezmotorové dopravy a doprovodné</w:t>
      </w:r>
      <w:r>
        <w:rPr>
          <w:spacing w:val="-2"/>
          <w:sz w:val="18"/>
        </w:rPr>
        <w:t> </w:t>
      </w:r>
      <w:r>
        <w:rPr>
          <w:sz w:val="18"/>
        </w:rPr>
        <w:t>zeleně</w:t>
      </w:r>
    </w:p>
    <w:p>
      <w:pPr>
        <w:tabs>
          <w:tab w:pos="1024" w:val="left" w:leader="none"/>
        </w:tabs>
        <w:spacing w:line="247" w:lineRule="auto" w:before="8"/>
        <w:ind w:left="1024" w:right="147" w:hanging="852"/>
        <w:jc w:val="left"/>
        <w:rPr>
          <w:sz w:val="18"/>
        </w:rPr>
      </w:pPr>
      <w:r>
        <w:rPr>
          <w:b/>
          <w:sz w:val="18"/>
        </w:rPr>
        <w:t>H1</w:t>
        <w:tab/>
      </w:r>
      <w:r>
        <w:rPr>
          <w:sz w:val="18"/>
        </w:rPr>
        <w:t>při umisťování staveb pro bydlení prokázat měřením dodržování hygienických limitů hluku ze stabilizovaných ploch pro dopravu, výrobu a kapacitní obchod v budoucích chráněných venkovních prostorech</w:t>
      </w:r>
      <w:r>
        <w:rPr>
          <w:spacing w:val="-30"/>
          <w:sz w:val="18"/>
        </w:rPr>
        <w:t> </w:t>
      </w:r>
      <w:r>
        <w:rPr>
          <w:sz w:val="18"/>
        </w:rPr>
        <w:t>staveb</w:t>
      </w:r>
    </w:p>
    <w:p>
      <w:pPr>
        <w:tabs>
          <w:tab w:pos="1024" w:val="left" w:leader="none"/>
        </w:tabs>
        <w:spacing w:line="244" w:lineRule="auto" w:before="8"/>
        <w:ind w:left="1024" w:right="147" w:hanging="852"/>
        <w:jc w:val="left"/>
        <w:rPr>
          <w:sz w:val="18"/>
        </w:rPr>
      </w:pPr>
      <w:r>
        <w:rPr>
          <w:b/>
          <w:sz w:val="18"/>
        </w:rPr>
        <w:t>H2</w:t>
        <w:tab/>
      </w:r>
      <w:r>
        <w:rPr>
          <w:sz w:val="18"/>
        </w:rPr>
        <w:t>při umisťování staveb pro bydlení prokázat dodržování hygienických limitů hluku z navrhovaných ploch pro dopravu, výrobu a kapacitní obchod v budoucích chráněných venkovních prostorech</w:t>
      </w:r>
      <w:r>
        <w:rPr>
          <w:spacing w:val="-11"/>
          <w:sz w:val="18"/>
        </w:rPr>
        <w:t> </w:t>
      </w:r>
      <w:r>
        <w:rPr>
          <w:sz w:val="18"/>
        </w:rPr>
        <w:t>staveb</w:t>
      </w:r>
    </w:p>
    <w:p>
      <w:pPr>
        <w:tabs>
          <w:tab w:pos="1024" w:val="left" w:leader="none"/>
        </w:tabs>
        <w:spacing w:line="244" w:lineRule="auto" w:before="12"/>
        <w:ind w:left="1024" w:right="147" w:hanging="852"/>
        <w:jc w:val="left"/>
        <w:rPr>
          <w:sz w:val="18"/>
        </w:rPr>
      </w:pPr>
      <w:r>
        <w:rPr>
          <w:b/>
          <w:sz w:val="18"/>
        </w:rPr>
        <w:t>VP</w:t>
        <w:tab/>
      </w:r>
      <w:r>
        <w:rPr>
          <w:sz w:val="18"/>
        </w:rPr>
        <w:t>v dalších stupních projektové přípravy prokázat způsob vymezení veřejných prostranství na celé ploše vč. návaznosti na širší</w:t>
      </w:r>
      <w:r>
        <w:rPr>
          <w:spacing w:val="-5"/>
          <w:sz w:val="18"/>
        </w:rPr>
        <w:t> </w:t>
      </w:r>
      <w:r>
        <w:rPr>
          <w:sz w:val="18"/>
        </w:rPr>
        <w:t>území</w:t>
      </w:r>
    </w:p>
    <w:p>
      <w:pPr>
        <w:tabs>
          <w:tab w:pos="1024" w:val="left" w:leader="none"/>
        </w:tabs>
        <w:spacing w:line="247" w:lineRule="auto" w:before="10"/>
        <w:ind w:left="1024" w:right="147" w:hanging="853"/>
        <w:jc w:val="left"/>
        <w:rPr>
          <w:sz w:val="18"/>
        </w:rPr>
      </w:pPr>
      <w:r>
        <w:rPr>
          <w:b/>
          <w:sz w:val="18"/>
        </w:rPr>
        <w:t>TI</w:t>
        <w:tab/>
      </w:r>
      <w:r>
        <w:rPr>
          <w:sz w:val="18"/>
        </w:rPr>
        <w:t>v dalších stupních projektové přípravy prokázat řešení vnitřní infrastruktury na celé ploše vč. návaznosti na širší</w:t>
      </w:r>
      <w:r>
        <w:rPr>
          <w:spacing w:val="-1"/>
          <w:sz w:val="18"/>
        </w:rPr>
        <w:t> </w:t>
      </w:r>
      <w:r>
        <w:rPr>
          <w:sz w:val="18"/>
        </w:rPr>
        <w:t>území</w:t>
      </w:r>
    </w:p>
    <w:p>
      <w:pPr>
        <w:tabs>
          <w:tab w:pos="1024" w:val="left" w:leader="none"/>
        </w:tabs>
        <w:spacing w:line="247" w:lineRule="auto" w:before="8"/>
        <w:ind w:left="1024" w:right="147" w:hanging="852"/>
        <w:jc w:val="left"/>
        <w:rPr>
          <w:sz w:val="18"/>
        </w:rPr>
      </w:pPr>
      <w:r>
        <w:rPr>
          <w:b/>
          <w:sz w:val="18"/>
        </w:rPr>
        <w:t>1ST</w:t>
        <w:tab/>
      </w:r>
      <w:r>
        <w:rPr>
          <w:sz w:val="18"/>
        </w:rPr>
        <w:t>v dalších stupních projektové přípravy na ploše umístit limitovaný počet staveb hlavního resp. přípustného využití</w:t>
      </w:r>
    </w:p>
    <w:p>
      <w:pPr>
        <w:tabs>
          <w:tab w:pos="1024" w:val="left" w:leader="none"/>
        </w:tabs>
        <w:spacing w:before="8"/>
        <w:ind w:left="172" w:right="0" w:firstLine="0"/>
        <w:jc w:val="left"/>
        <w:rPr>
          <w:sz w:val="18"/>
        </w:rPr>
      </w:pPr>
      <w:r>
        <w:rPr>
          <w:b/>
          <w:sz w:val="18"/>
        </w:rPr>
        <w:t>MPZ</w:t>
        <w:tab/>
      </w:r>
      <w:r>
        <w:rPr>
          <w:sz w:val="18"/>
        </w:rPr>
        <w:t>plocha umístěna v území se zvýšenou ochranou architektonických a urbanistických</w:t>
      </w:r>
      <w:r>
        <w:rPr>
          <w:spacing w:val="-7"/>
          <w:sz w:val="18"/>
        </w:rPr>
        <w:t> </w:t>
      </w:r>
      <w:r>
        <w:rPr>
          <w:sz w:val="18"/>
        </w:rPr>
        <w:t>hodnot</w:t>
      </w:r>
    </w:p>
    <w:p>
      <w:pPr>
        <w:tabs>
          <w:tab w:pos="1024" w:val="left" w:leader="none"/>
        </w:tabs>
        <w:spacing w:before="122" w:after="5"/>
        <w:ind w:left="172" w:right="0" w:firstLine="0"/>
        <w:jc w:val="left"/>
        <w:rPr>
          <w:b/>
          <w:sz w:val="18"/>
        </w:rPr>
      </w:pPr>
      <w:r>
        <w:rPr>
          <w:b/>
          <w:sz w:val="18"/>
        </w:rPr>
        <w:t>Tab.:</w:t>
        <w:tab/>
        <w:t>Návrh ploch</w:t>
      </w:r>
      <w:r>
        <w:rPr>
          <w:b/>
          <w:spacing w:val="-1"/>
          <w:sz w:val="18"/>
        </w:rPr>
        <w:t> </w:t>
      </w:r>
      <w:r>
        <w:rPr>
          <w:b/>
          <w:sz w:val="18"/>
        </w:rPr>
        <w:t>zastavitelných</w:t>
      </w: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17"/>
        <w:gridCol w:w="5571"/>
        <w:gridCol w:w="850"/>
        <w:gridCol w:w="1659"/>
      </w:tblGrid>
      <w:tr>
        <w:trPr>
          <w:trHeight w:val="412" w:hRule="atLeast"/>
        </w:trPr>
        <w:tc>
          <w:tcPr>
            <w:tcW w:w="1517" w:type="dxa"/>
            <w:shd w:val="clear" w:color="auto" w:fill="CCFFFF"/>
          </w:tcPr>
          <w:p>
            <w:pPr>
              <w:pStyle w:val="TableParagraph"/>
              <w:spacing w:line="201" w:lineRule="exact"/>
              <w:ind w:left="28"/>
              <w:rPr>
                <w:b/>
                <w:sz w:val="18"/>
              </w:rPr>
            </w:pPr>
            <w:r>
              <w:rPr>
                <w:b/>
                <w:sz w:val="18"/>
              </w:rPr>
              <w:t>plocha/</w:t>
            </w:r>
          </w:p>
          <w:p>
            <w:pPr>
              <w:pStyle w:val="TableParagraph"/>
              <w:spacing w:line="192" w:lineRule="exact"/>
              <w:ind w:left="28"/>
              <w:rPr>
                <w:b/>
                <w:sz w:val="18"/>
              </w:rPr>
            </w:pPr>
            <w:r>
              <w:rPr>
                <w:b/>
                <w:sz w:val="18"/>
              </w:rPr>
              <w:t>funkce/regulace</w:t>
            </w:r>
          </w:p>
        </w:tc>
        <w:tc>
          <w:tcPr>
            <w:tcW w:w="5571" w:type="dxa"/>
            <w:shd w:val="clear" w:color="auto" w:fill="CCFFFF"/>
          </w:tcPr>
          <w:p>
            <w:pPr>
              <w:pStyle w:val="TableParagraph"/>
              <w:spacing w:line="201" w:lineRule="exact"/>
              <w:ind w:left="28"/>
              <w:rPr>
                <w:b/>
                <w:sz w:val="18"/>
              </w:rPr>
            </w:pPr>
            <w:r>
              <w:rPr>
                <w:b/>
                <w:sz w:val="18"/>
              </w:rPr>
              <w:t>umístění / účel</w:t>
            </w:r>
          </w:p>
        </w:tc>
        <w:tc>
          <w:tcPr>
            <w:tcW w:w="850" w:type="dxa"/>
            <w:shd w:val="clear" w:color="auto" w:fill="CCFFFF"/>
          </w:tcPr>
          <w:p>
            <w:pPr>
              <w:pStyle w:val="TableParagraph"/>
              <w:spacing w:line="201" w:lineRule="exact"/>
              <w:ind w:left="27"/>
              <w:rPr>
                <w:b/>
                <w:sz w:val="18"/>
              </w:rPr>
            </w:pPr>
            <w:r>
              <w:rPr>
                <w:b/>
                <w:sz w:val="18"/>
              </w:rPr>
              <w:t>výměra</w:t>
            </w:r>
          </w:p>
        </w:tc>
        <w:tc>
          <w:tcPr>
            <w:tcW w:w="1659" w:type="dxa"/>
            <w:shd w:val="clear" w:color="auto" w:fill="CCFFFF"/>
          </w:tcPr>
          <w:p>
            <w:pPr>
              <w:pStyle w:val="TableParagraph"/>
              <w:spacing w:line="201" w:lineRule="exact"/>
              <w:ind w:left="29"/>
              <w:rPr>
                <w:b/>
                <w:sz w:val="18"/>
              </w:rPr>
            </w:pPr>
            <w:r>
              <w:rPr>
                <w:b/>
                <w:sz w:val="18"/>
              </w:rPr>
              <w:t>podmínky</w:t>
            </w:r>
          </w:p>
        </w:tc>
      </w:tr>
      <w:tr>
        <w:trPr>
          <w:trHeight w:val="208" w:hRule="atLeast"/>
        </w:trPr>
        <w:tc>
          <w:tcPr>
            <w:tcW w:w="7938" w:type="dxa"/>
            <w:gridSpan w:val="3"/>
            <w:shd w:val="clear" w:color="auto" w:fill="DADADA"/>
          </w:tcPr>
          <w:p>
            <w:pPr>
              <w:pStyle w:val="TableParagraph"/>
              <w:spacing w:line="188" w:lineRule="exact"/>
              <w:ind w:left="28"/>
              <w:rPr>
                <w:b/>
                <w:sz w:val="18"/>
              </w:rPr>
            </w:pPr>
            <w:r>
              <w:rPr>
                <w:b/>
                <w:sz w:val="18"/>
              </w:rPr>
              <w:t>k.ú. Chrastava I</w:t>
            </w:r>
          </w:p>
        </w:tc>
        <w:tc>
          <w:tcPr>
            <w:tcW w:w="1659" w:type="dxa"/>
            <w:shd w:val="clear" w:color="auto" w:fill="DADADA"/>
          </w:tcPr>
          <w:p>
            <w:pPr>
              <w:pStyle w:val="TableParagraph"/>
              <w:ind w:left="0"/>
              <w:rPr>
                <w:rFonts w:ascii="Times New Roman"/>
                <w:sz w:val="14"/>
              </w:rPr>
            </w:pPr>
          </w:p>
        </w:tc>
      </w:tr>
      <w:tr>
        <w:trPr>
          <w:trHeight w:val="206" w:hRule="atLeast"/>
        </w:trPr>
        <w:tc>
          <w:tcPr>
            <w:tcW w:w="1517" w:type="dxa"/>
            <w:tcBorders>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1.C.15.30.40</w:t>
            </w:r>
          </w:p>
        </w:tc>
        <w:tc>
          <w:tcPr>
            <w:tcW w:w="5571" w:type="dxa"/>
            <w:tcBorders>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Žitavská – dotvoření prostoru AUN v městském centru</w:t>
            </w:r>
          </w:p>
        </w:tc>
        <w:tc>
          <w:tcPr>
            <w:tcW w:w="850" w:type="dxa"/>
            <w:tcBorders>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1139</w:t>
            </w:r>
          </w:p>
        </w:tc>
        <w:tc>
          <w:tcPr>
            <w:tcW w:w="1659" w:type="dxa"/>
            <w:tcBorders>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H1, MPZ</w:t>
            </w:r>
          </w:p>
        </w:tc>
      </w:tr>
      <w:tr>
        <w:trPr>
          <w:trHeight w:val="208"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9.S.15.40.20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Turpišova – rozšíření městského sportovního areálu</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0" w:right="45"/>
              <w:jc w:val="right"/>
              <w:rPr>
                <w:sz w:val="18"/>
              </w:rPr>
            </w:pPr>
            <w:r>
              <w:rPr>
                <w:w w:val="95"/>
                <w:sz w:val="18"/>
              </w:rPr>
              <w:t>8035</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32"/>
              <w:rPr>
                <w:sz w:val="18"/>
              </w:rPr>
            </w:pPr>
            <w:r>
              <w:rPr>
                <w:sz w:val="18"/>
              </w:rPr>
              <w:t>MPZ</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11.S.9.10.60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Sportovní – rozšíření areálu městského koupaliště</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1365</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BK</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12.S 9.20.60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Vítkovská – rozšíření areálu městského koupaliště</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4175</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H1, BK</w:t>
            </w:r>
          </w:p>
        </w:tc>
      </w:tr>
      <w:tr>
        <w:trPr>
          <w:trHeight w:val="208"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13.P</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Sportovní – rozšíření místní komunikace k parkování u koupaliště</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0" w:right="45"/>
              <w:jc w:val="right"/>
              <w:rPr>
                <w:sz w:val="18"/>
              </w:rPr>
            </w:pPr>
            <w:r>
              <w:rPr>
                <w:w w:val="95"/>
                <w:sz w:val="18"/>
              </w:rPr>
              <w:t>601</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14.B.12.20.60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Kostelní – individuální bydlení v proluce u cesty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1989</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MPZ</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15.B.15.20.60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Frýdlantská – dotvoření východního okraje centra města bydlením</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1188</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MPZ, H1, BK</w:t>
            </w:r>
          </w:p>
        </w:tc>
      </w:tr>
      <w:tr>
        <w:trPr>
          <w:trHeight w:val="208"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16.B.15.20.60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Frýdlantská – dotvoření východního okraje centra města bydlením</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0" w:right="45"/>
              <w:jc w:val="right"/>
              <w:rPr>
                <w:sz w:val="18"/>
              </w:rPr>
            </w:pPr>
            <w:r>
              <w:rPr>
                <w:w w:val="95"/>
                <w:sz w:val="18"/>
              </w:rPr>
              <w:t>214</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32"/>
              <w:rPr>
                <w:sz w:val="18"/>
              </w:rPr>
            </w:pPr>
            <w:r>
              <w:rPr>
                <w:sz w:val="18"/>
              </w:rPr>
              <w:t>MPZ, H1</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17.R.7.5.80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Hřbitovní – rozšíření zahrádkářské osady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6628</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18.B.15.20.60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Liberecká – Frýdlantská - dotvoření východního okraje centra</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3097</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MPZ, OK, H2</w:t>
            </w:r>
          </w:p>
        </w:tc>
      </w:tr>
      <w:tr>
        <w:trPr>
          <w:trHeight w:val="208"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20.R.7.5.80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Liberecká – Luční – založení zahrádkářské osady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0" w:right="45"/>
              <w:jc w:val="right"/>
              <w:rPr>
                <w:sz w:val="18"/>
              </w:rPr>
            </w:pPr>
            <w:r>
              <w:rPr>
                <w:w w:val="95"/>
                <w:sz w:val="18"/>
              </w:rPr>
              <w:t>39843</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21.C.12.30.40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Školní – dotvoření městského bloku pod kostelem sv. Vavřince</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455</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MPZ</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22.B.15.25.50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Střelecký vrch – dotvoření sídliště bytovými domy a vybavením</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3547</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MPZ, OK</w:t>
            </w:r>
          </w:p>
        </w:tc>
      </w:tr>
      <w:tr>
        <w:trPr>
          <w:trHeight w:val="208"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23.B.15.25.50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Střelecký vrch – dotvoření sídliště bytovými domy a vybavením</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0" w:right="45"/>
              <w:jc w:val="right"/>
              <w:rPr>
                <w:sz w:val="18"/>
              </w:rPr>
            </w:pPr>
            <w:r>
              <w:rPr>
                <w:w w:val="95"/>
                <w:sz w:val="18"/>
              </w:rPr>
              <w:t>5764</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32"/>
              <w:rPr>
                <w:sz w:val="18"/>
              </w:rPr>
            </w:pPr>
            <w:r>
              <w:rPr>
                <w:sz w:val="18"/>
              </w:rPr>
              <w:t>OK, H1</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24.P</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Střelecký vrch – zokruhování sídlištní komunikace</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2966</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BK</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25.P</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Střelecký vrch – zokruhování sídlištní komunikace</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844</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8"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26.P</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Střelecký vrch – zokruhování sídlištní komunikace</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0" w:right="45"/>
              <w:jc w:val="right"/>
              <w:rPr>
                <w:sz w:val="18"/>
              </w:rPr>
            </w:pPr>
            <w:r>
              <w:rPr>
                <w:w w:val="95"/>
                <w:sz w:val="18"/>
              </w:rPr>
              <w:t>358</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27.S.9.10.40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Střelecký vrch – sportovní areál u revitalizovaných rybníků</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3806</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H1</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28.S.9.10.40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Střelecký vrch – sportovní areál u revitalizovaných rybníků</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6719</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H1</w:t>
            </w:r>
          </w:p>
        </w:tc>
      </w:tr>
      <w:tr>
        <w:trPr>
          <w:trHeight w:val="208"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29.P</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Revoluční - úprava jižního segmentu okruhu kolem centra</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0" w:right="45"/>
              <w:jc w:val="right"/>
              <w:rPr>
                <w:sz w:val="18"/>
              </w:rPr>
            </w:pPr>
            <w:r>
              <w:rPr>
                <w:w w:val="95"/>
                <w:sz w:val="18"/>
              </w:rPr>
              <w:t>62</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32"/>
              <w:rPr>
                <w:sz w:val="18"/>
              </w:rPr>
            </w:pPr>
            <w:r>
              <w:rPr>
                <w:sz w:val="18"/>
              </w:rPr>
              <w:t>MPZ</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30.G.12.80.10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Liberecká – hromadné garáže pro sídliště Střelecký vrch</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4121</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H1</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31.B.12.15.70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Textilanská – dotvoření sídl. Střelecký vrch individuálním bydlením</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5359</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H1</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32.P</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Textilanská – stezka podél rybníků na sídlišti Střelecký vrch</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1701</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H1, BK</w:t>
            </w:r>
          </w:p>
        </w:tc>
      </w:tr>
      <w:tr>
        <w:trPr>
          <w:trHeight w:val="208"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7" w:lineRule="exact" w:before="1"/>
              <w:ind w:left="88"/>
              <w:rPr>
                <w:sz w:val="18"/>
              </w:rPr>
            </w:pPr>
            <w:r>
              <w:rPr>
                <w:sz w:val="18"/>
              </w:rPr>
              <w:t>33.E.12.30.40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7" w:lineRule="exact" w:before="1"/>
              <w:ind w:left="88"/>
              <w:rPr>
                <w:sz w:val="18"/>
              </w:rPr>
            </w:pPr>
            <w:r>
              <w:rPr>
                <w:sz w:val="18"/>
              </w:rPr>
              <w:t>U obalovny – legalizace napojení a rozšíření skladového areálu</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7" w:lineRule="exact" w:before="1"/>
              <w:ind w:left="0" w:right="45"/>
              <w:jc w:val="right"/>
              <w:rPr>
                <w:sz w:val="18"/>
              </w:rPr>
            </w:pPr>
            <w:r>
              <w:rPr>
                <w:w w:val="95"/>
                <w:sz w:val="18"/>
              </w:rPr>
              <w:t>6932</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7" w:lineRule="exact" w:before="1"/>
              <w:ind w:left="32"/>
              <w:rPr>
                <w:sz w:val="18"/>
              </w:rPr>
            </w:pPr>
            <w:r>
              <w:rPr>
                <w:sz w:val="18"/>
              </w:rPr>
              <w:t>TI</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40.E.12.30.30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Školní – rozšíření výrobního areálu</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5381</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TI</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41.P</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Vítkovská – zpřístupnění hlavní rozvojové plochy pro bydlení</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849</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8"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7" w:lineRule="exact" w:before="1"/>
              <w:ind w:left="88"/>
              <w:rPr>
                <w:sz w:val="18"/>
              </w:rPr>
            </w:pPr>
            <w:r>
              <w:rPr>
                <w:sz w:val="18"/>
              </w:rPr>
              <w:t>42.B.9.15.70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7" w:lineRule="exact" w:before="1"/>
              <w:ind w:left="88"/>
              <w:rPr>
                <w:sz w:val="18"/>
              </w:rPr>
            </w:pPr>
            <w:r>
              <w:rPr>
                <w:sz w:val="18"/>
              </w:rPr>
              <w:t>Nad Libereckou - individuální bydlení na okraji zástavby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7" w:lineRule="exact" w:before="1"/>
              <w:ind w:left="0" w:right="45"/>
              <w:jc w:val="right"/>
              <w:rPr>
                <w:sz w:val="18"/>
              </w:rPr>
            </w:pPr>
            <w:r>
              <w:rPr>
                <w:w w:val="95"/>
                <w:sz w:val="18"/>
              </w:rPr>
              <w:t>3152</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44.E.12.30.40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Liberecká – rozšíření výrobního areálu u silnice I/35</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5077</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TI, BK</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45.P</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Liberecká – obsluha rozvoj. ploch, cyklistická stezka na trase č. 14</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103"/>
              <w:jc w:val="right"/>
              <w:rPr>
                <w:sz w:val="18"/>
              </w:rPr>
            </w:pPr>
            <w:r>
              <w:rPr>
                <w:w w:val="95"/>
                <w:sz w:val="18"/>
              </w:rPr>
              <w:t>1068</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8"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7" w:lineRule="exact" w:before="1"/>
              <w:ind w:left="88"/>
              <w:rPr>
                <w:sz w:val="18"/>
              </w:rPr>
            </w:pPr>
            <w:r>
              <w:rPr>
                <w:sz w:val="18"/>
              </w:rPr>
              <w:t>46.B.12.20.60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7" w:lineRule="exact" w:before="1"/>
              <w:ind w:left="88"/>
              <w:rPr>
                <w:sz w:val="18"/>
              </w:rPr>
            </w:pPr>
            <w:r>
              <w:rPr>
                <w:sz w:val="18"/>
              </w:rPr>
              <w:t>Hřbitovní – individuální bydlení v proluce u cesty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7" w:lineRule="exact" w:before="1"/>
              <w:ind w:left="0" w:right="45"/>
              <w:jc w:val="right"/>
              <w:rPr>
                <w:sz w:val="18"/>
              </w:rPr>
            </w:pPr>
            <w:r>
              <w:rPr>
                <w:w w:val="95"/>
                <w:sz w:val="18"/>
              </w:rPr>
              <w:t>4210</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48.B.12.15.70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Liberecká–individuální bydlení ve vazbě na rozvojovou plochu 49.B</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2305</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H1</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49.B.15.20.60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Liberecká – rozvojová plocha bydlení ve vazbě na Střelecký vrch</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34669</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H1</w:t>
            </w:r>
          </w:p>
        </w:tc>
      </w:tr>
      <w:tr>
        <w:trPr>
          <w:trHeight w:val="208"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7" w:lineRule="exact" w:before="1"/>
              <w:ind w:left="88"/>
              <w:rPr>
                <w:sz w:val="18"/>
              </w:rPr>
            </w:pPr>
            <w:r>
              <w:rPr>
                <w:sz w:val="18"/>
              </w:rPr>
              <w:t>50.P</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7" w:lineRule="exact" w:before="1"/>
              <w:ind w:left="88"/>
              <w:rPr>
                <w:sz w:val="18"/>
              </w:rPr>
            </w:pPr>
            <w:r>
              <w:rPr>
                <w:sz w:val="18"/>
              </w:rPr>
              <w:t>Liberecká – obsluha rozvoj. ploch, cyklistická stezka na trase č. 14</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7" w:lineRule="exact" w:before="1"/>
              <w:ind w:left="0" w:right="45"/>
              <w:jc w:val="right"/>
              <w:rPr>
                <w:sz w:val="18"/>
              </w:rPr>
            </w:pPr>
            <w:r>
              <w:rPr>
                <w:w w:val="95"/>
                <w:sz w:val="18"/>
              </w:rPr>
              <w:t>6784</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7" w:lineRule="exact" w:before="1"/>
              <w:ind w:left="32"/>
              <w:rPr>
                <w:sz w:val="18"/>
              </w:rPr>
            </w:pPr>
            <w:r>
              <w:rPr>
                <w:sz w:val="18"/>
              </w:rPr>
              <w:t>BK</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51.B.12.15.70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Textilanská – dotvoření sídl. Střelecký vrch individuálním bydlením</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1936</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H1</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52.B.12.15.70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Sportovní – individuální bydlení na v proluce u cesty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1537</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BK</w:t>
            </w:r>
          </w:p>
        </w:tc>
      </w:tr>
      <w:tr>
        <w:trPr>
          <w:trHeight w:val="208"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53.B.12.15.70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Vítkovská –individuální bydlení na v proluce u cesty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0" w:right="45"/>
              <w:jc w:val="right"/>
              <w:rPr>
                <w:sz w:val="18"/>
              </w:rPr>
            </w:pPr>
            <w:r>
              <w:rPr>
                <w:w w:val="95"/>
                <w:sz w:val="18"/>
              </w:rPr>
              <w:t>3045</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32"/>
              <w:rPr>
                <w:sz w:val="18"/>
              </w:rPr>
            </w:pPr>
            <w:r>
              <w:rPr>
                <w:sz w:val="18"/>
              </w:rPr>
              <w:t>H1, 1St</w:t>
            </w:r>
          </w:p>
        </w:tc>
      </w:tr>
      <w:tr>
        <w:trPr>
          <w:trHeight w:val="206" w:hRule="atLeast"/>
        </w:trPr>
        <w:tc>
          <w:tcPr>
            <w:tcW w:w="1517" w:type="dxa"/>
            <w:tcBorders>
              <w:top w:val="single" w:sz="2" w:space="0" w:color="000000"/>
              <w:left w:val="single" w:sz="2" w:space="0" w:color="000000"/>
              <w:right w:val="single" w:sz="2" w:space="0" w:color="000000"/>
            </w:tcBorders>
          </w:tcPr>
          <w:p>
            <w:pPr>
              <w:pStyle w:val="TableParagraph"/>
              <w:spacing w:line="186" w:lineRule="exact"/>
              <w:ind w:left="88"/>
              <w:rPr>
                <w:sz w:val="18"/>
              </w:rPr>
            </w:pPr>
            <w:r>
              <w:rPr>
                <w:sz w:val="18"/>
              </w:rPr>
              <w:t>Z3/2.P(10.P)</w:t>
            </w:r>
          </w:p>
        </w:tc>
        <w:tc>
          <w:tcPr>
            <w:tcW w:w="5571" w:type="dxa"/>
            <w:tcBorders>
              <w:top w:val="single" w:sz="2" w:space="0" w:color="000000"/>
              <w:left w:val="single" w:sz="2" w:space="0" w:color="000000"/>
              <w:right w:val="single" w:sz="2" w:space="0" w:color="000000"/>
            </w:tcBorders>
          </w:tcPr>
          <w:p>
            <w:pPr>
              <w:pStyle w:val="TableParagraph"/>
              <w:spacing w:line="186" w:lineRule="exact"/>
              <w:ind w:left="88"/>
              <w:rPr>
                <w:sz w:val="18"/>
              </w:rPr>
            </w:pPr>
            <w:r>
              <w:rPr>
                <w:sz w:val="18"/>
              </w:rPr>
              <w:t>Pobřežní – samostatná stezka na cyklotrase č. 22</w:t>
            </w:r>
          </w:p>
        </w:tc>
        <w:tc>
          <w:tcPr>
            <w:tcW w:w="850" w:type="dxa"/>
            <w:tcBorders>
              <w:top w:val="single" w:sz="2" w:space="0" w:color="000000"/>
              <w:left w:val="single" w:sz="2" w:space="0" w:color="000000"/>
              <w:right w:val="single" w:sz="2" w:space="0" w:color="000000"/>
            </w:tcBorders>
          </w:tcPr>
          <w:p>
            <w:pPr>
              <w:pStyle w:val="TableParagraph"/>
              <w:spacing w:line="186" w:lineRule="exact"/>
              <w:ind w:left="0" w:right="45"/>
              <w:jc w:val="right"/>
              <w:rPr>
                <w:sz w:val="18"/>
              </w:rPr>
            </w:pPr>
            <w:r>
              <w:rPr>
                <w:w w:val="95"/>
                <w:sz w:val="18"/>
              </w:rPr>
              <w:t>962</w:t>
            </w:r>
          </w:p>
        </w:tc>
        <w:tc>
          <w:tcPr>
            <w:tcW w:w="1659" w:type="dxa"/>
            <w:tcBorders>
              <w:top w:val="single" w:sz="2" w:space="0" w:color="000000"/>
              <w:left w:val="single" w:sz="2" w:space="0" w:color="000000"/>
              <w:right w:val="single" w:sz="2" w:space="0" w:color="000000"/>
            </w:tcBorders>
          </w:tcPr>
          <w:p>
            <w:pPr>
              <w:pStyle w:val="TableParagraph"/>
              <w:spacing w:line="186" w:lineRule="exact"/>
              <w:ind w:left="32"/>
              <w:rPr>
                <w:sz w:val="18"/>
              </w:rPr>
            </w:pPr>
            <w:r>
              <w:rPr>
                <w:sz w:val="18"/>
              </w:rPr>
              <w:t>H1, BM</w:t>
            </w:r>
          </w:p>
        </w:tc>
      </w:tr>
      <w:tr>
        <w:trPr>
          <w:trHeight w:val="205" w:hRule="atLeast"/>
        </w:trPr>
        <w:tc>
          <w:tcPr>
            <w:tcW w:w="7938" w:type="dxa"/>
            <w:gridSpan w:val="3"/>
            <w:shd w:val="clear" w:color="auto" w:fill="DADADA"/>
          </w:tcPr>
          <w:p>
            <w:pPr>
              <w:pStyle w:val="TableParagraph"/>
              <w:spacing w:line="186" w:lineRule="exact"/>
              <w:ind w:left="28"/>
              <w:rPr>
                <w:b/>
                <w:sz w:val="18"/>
              </w:rPr>
            </w:pPr>
            <w:r>
              <w:rPr>
                <w:b/>
                <w:sz w:val="18"/>
              </w:rPr>
              <w:t>k.ú. Chrastava II</w:t>
            </w:r>
          </w:p>
        </w:tc>
        <w:tc>
          <w:tcPr>
            <w:tcW w:w="1659" w:type="dxa"/>
            <w:shd w:val="clear" w:color="auto" w:fill="DADADA"/>
          </w:tcPr>
          <w:p>
            <w:pPr>
              <w:pStyle w:val="TableParagraph"/>
              <w:ind w:left="0"/>
              <w:rPr>
                <w:rFonts w:ascii="Times New Roman"/>
                <w:sz w:val="14"/>
              </w:rPr>
            </w:pPr>
          </w:p>
        </w:tc>
      </w:tr>
      <w:tr>
        <w:trPr>
          <w:trHeight w:val="208" w:hRule="atLeast"/>
        </w:trPr>
        <w:tc>
          <w:tcPr>
            <w:tcW w:w="1517" w:type="dxa"/>
            <w:tcBorders>
              <w:left w:val="single" w:sz="2" w:space="0" w:color="000000"/>
              <w:bottom w:val="single" w:sz="2" w:space="0" w:color="000000"/>
              <w:right w:val="single" w:sz="2" w:space="0" w:color="000000"/>
            </w:tcBorders>
          </w:tcPr>
          <w:p>
            <w:pPr>
              <w:pStyle w:val="TableParagraph"/>
              <w:spacing w:line="187" w:lineRule="exact" w:before="1"/>
              <w:ind w:left="88"/>
              <w:rPr>
                <w:sz w:val="18"/>
              </w:rPr>
            </w:pPr>
            <w:r>
              <w:rPr>
                <w:sz w:val="18"/>
              </w:rPr>
              <w:t>60.B.12.20.60</w:t>
            </w:r>
          </w:p>
        </w:tc>
        <w:tc>
          <w:tcPr>
            <w:tcW w:w="5571" w:type="dxa"/>
            <w:tcBorders>
              <w:left w:val="single" w:sz="2" w:space="0" w:color="000000"/>
              <w:bottom w:val="single" w:sz="2" w:space="0" w:color="000000"/>
              <w:right w:val="single" w:sz="2" w:space="0" w:color="000000"/>
            </w:tcBorders>
          </w:tcPr>
          <w:p>
            <w:pPr>
              <w:pStyle w:val="TableParagraph"/>
              <w:spacing w:line="187" w:lineRule="exact" w:before="1"/>
              <w:ind w:left="88"/>
              <w:rPr>
                <w:sz w:val="18"/>
              </w:rPr>
            </w:pPr>
            <w:r>
              <w:rPr>
                <w:sz w:val="18"/>
              </w:rPr>
              <w:t>Na Hůrce - individuální bydlení v proluce u cesty</w:t>
            </w:r>
          </w:p>
        </w:tc>
        <w:tc>
          <w:tcPr>
            <w:tcW w:w="850" w:type="dxa"/>
            <w:tcBorders>
              <w:left w:val="single" w:sz="2" w:space="0" w:color="000000"/>
              <w:bottom w:val="single" w:sz="2" w:space="0" w:color="000000"/>
              <w:right w:val="single" w:sz="2" w:space="0" w:color="000000"/>
            </w:tcBorders>
          </w:tcPr>
          <w:p>
            <w:pPr>
              <w:pStyle w:val="TableParagraph"/>
              <w:spacing w:line="187" w:lineRule="exact" w:before="1"/>
              <w:ind w:left="0" w:right="45"/>
              <w:jc w:val="right"/>
              <w:rPr>
                <w:sz w:val="18"/>
              </w:rPr>
            </w:pPr>
            <w:r>
              <w:rPr>
                <w:w w:val="95"/>
                <w:sz w:val="18"/>
              </w:rPr>
              <w:t>1929</w:t>
            </w:r>
          </w:p>
        </w:tc>
        <w:tc>
          <w:tcPr>
            <w:tcW w:w="1659" w:type="dxa"/>
            <w:tcBorders>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6" w:hRule="atLeast"/>
        </w:trPr>
        <w:tc>
          <w:tcPr>
            <w:tcW w:w="1517" w:type="dxa"/>
            <w:tcBorders>
              <w:top w:val="single" w:sz="2" w:space="0" w:color="000000"/>
              <w:left w:val="single" w:sz="2" w:space="0" w:color="000000"/>
              <w:right w:val="single" w:sz="2" w:space="0" w:color="000000"/>
            </w:tcBorders>
          </w:tcPr>
          <w:p>
            <w:pPr>
              <w:pStyle w:val="TableParagraph"/>
              <w:spacing w:line="186" w:lineRule="exact"/>
              <w:ind w:left="88"/>
              <w:rPr>
                <w:sz w:val="18"/>
              </w:rPr>
            </w:pPr>
            <w:r>
              <w:rPr>
                <w:sz w:val="18"/>
              </w:rPr>
              <w:t>61.S.9.10.30</w:t>
            </w:r>
          </w:p>
        </w:tc>
        <w:tc>
          <w:tcPr>
            <w:tcW w:w="5571" w:type="dxa"/>
            <w:tcBorders>
              <w:top w:val="single" w:sz="2" w:space="0" w:color="000000"/>
              <w:left w:val="single" w:sz="2" w:space="0" w:color="000000"/>
              <w:right w:val="single" w:sz="2" w:space="0" w:color="000000"/>
            </w:tcBorders>
          </w:tcPr>
          <w:p>
            <w:pPr>
              <w:pStyle w:val="TableParagraph"/>
              <w:spacing w:line="186" w:lineRule="exact"/>
              <w:ind w:left="88"/>
              <w:rPr>
                <w:sz w:val="18"/>
              </w:rPr>
            </w:pPr>
            <w:r>
              <w:rPr>
                <w:sz w:val="18"/>
              </w:rPr>
              <w:t>Ještědská – založení místního hřiště</w:t>
            </w:r>
          </w:p>
        </w:tc>
        <w:tc>
          <w:tcPr>
            <w:tcW w:w="850" w:type="dxa"/>
            <w:tcBorders>
              <w:top w:val="single" w:sz="2" w:space="0" w:color="000000"/>
              <w:left w:val="single" w:sz="2" w:space="0" w:color="000000"/>
              <w:right w:val="single" w:sz="2" w:space="0" w:color="000000"/>
            </w:tcBorders>
          </w:tcPr>
          <w:p>
            <w:pPr>
              <w:pStyle w:val="TableParagraph"/>
              <w:spacing w:line="186" w:lineRule="exact"/>
              <w:ind w:left="0" w:right="45"/>
              <w:jc w:val="right"/>
              <w:rPr>
                <w:sz w:val="18"/>
              </w:rPr>
            </w:pPr>
            <w:r>
              <w:rPr>
                <w:w w:val="95"/>
                <w:sz w:val="18"/>
              </w:rPr>
              <w:t>2171</w:t>
            </w:r>
          </w:p>
        </w:tc>
        <w:tc>
          <w:tcPr>
            <w:tcW w:w="1659" w:type="dxa"/>
            <w:tcBorders>
              <w:top w:val="single" w:sz="2" w:space="0" w:color="000000"/>
              <w:left w:val="single" w:sz="2" w:space="0" w:color="000000"/>
              <w:right w:val="single" w:sz="2" w:space="0" w:color="000000"/>
            </w:tcBorders>
          </w:tcPr>
          <w:p>
            <w:pPr>
              <w:pStyle w:val="TableParagraph"/>
              <w:ind w:left="0"/>
              <w:rPr>
                <w:rFonts w:ascii="Times New Roman"/>
                <w:sz w:val="14"/>
              </w:rPr>
            </w:pPr>
          </w:p>
        </w:tc>
      </w:tr>
      <w:tr>
        <w:trPr>
          <w:trHeight w:val="208" w:hRule="atLeast"/>
        </w:trPr>
        <w:tc>
          <w:tcPr>
            <w:tcW w:w="7938" w:type="dxa"/>
            <w:gridSpan w:val="3"/>
            <w:shd w:val="clear" w:color="auto" w:fill="DADADA"/>
          </w:tcPr>
          <w:p>
            <w:pPr>
              <w:pStyle w:val="TableParagraph"/>
              <w:spacing w:line="188" w:lineRule="exact"/>
              <w:ind w:left="28"/>
              <w:rPr>
                <w:b/>
                <w:sz w:val="18"/>
              </w:rPr>
            </w:pPr>
            <w:r>
              <w:rPr>
                <w:b/>
                <w:sz w:val="18"/>
              </w:rPr>
              <w:t>k.ú. Dolní Chrastava</w:t>
            </w:r>
          </w:p>
        </w:tc>
        <w:tc>
          <w:tcPr>
            <w:tcW w:w="1659" w:type="dxa"/>
            <w:shd w:val="clear" w:color="auto" w:fill="DADADA"/>
          </w:tcPr>
          <w:p>
            <w:pPr>
              <w:pStyle w:val="TableParagraph"/>
              <w:ind w:left="0"/>
              <w:rPr>
                <w:rFonts w:ascii="Times New Roman"/>
                <w:sz w:val="14"/>
              </w:rPr>
            </w:pPr>
          </w:p>
        </w:tc>
      </w:tr>
      <w:tr>
        <w:trPr>
          <w:trHeight w:val="206" w:hRule="atLeast"/>
        </w:trPr>
        <w:tc>
          <w:tcPr>
            <w:tcW w:w="1517" w:type="dxa"/>
            <w:tcBorders>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70.B.12.20.60</w:t>
            </w:r>
          </w:p>
        </w:tc>
        <w:tc>
          <w:tcPr>
            <w:tcW w:w="5571" w:type="dxa"/>
            <w:tcBorders>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Sedmidomská – soustředěné individuální bydlení v proluce u cesty</w:t>
            </w:r>
          </w:p>
        </w:tc>
        <w:tc>
          <w:tcPr>
            <w:tcW w:w="850" w:type="dxa"/>
            <w:tcBorders>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16118</w:t>
            </w:r>
          </w:p>
        </w:tc>
        <w:tc>
          <w:tcPr>
            <w:tcW w:w="1659" w:type="dxa"/>
            <w:tcBorders>
              <w:left w:val="single" w:sz="2" w:space="0" w:color="000000"/>
              <w:bottom w:val="single" w:sz="2" w:space="0" w:color="000000"/>
              <w:right w:val="single" w:sz="2" w:space="0" w:color="000000"/>
            </w:tcBorders>
          </w:tcPr>
          <w:p>
            <w:pPr>
              <w:pStyle w:val="TableParagraph"/>
              <w:ind w:left="0"/>
              <w:rPr>
                <w:rFonts w:ascii="Times New Roman"/>
                <w:sz w:val="14"/>
              </w:rPr>
            </w:pPr>
          </w:p>
        </w:tc>
      </w:tr>
    </w:tbl>
    <w:p>
      <w:pPr>
        <w:spacing w:after="0"/>
        <w:rPr>
          <w:rFonts w:ascii="Times New Roman"/>
          <w:sz w:val="14"/>
        </w:rPr>
        <w:sectPr>
          <w:pgSz w:w="11900" w:h="16840"/>
          <w:pgMar w:header="561" w:footer="582" w:top="760" w:bottom="780" w:left="960" w:right="980"/>
        </w:sectPr>
      </w:pPr>
    </w:p>
    <w:p>
      <w:pPr>
        <w:pStyle w:val="BodyText"/>
        <w:ind w:left="0" w:firstLine="0"/>
        <w:jc w:val="left"/>
        <w:rPr>
          <w:b/>
          <w:sz w:val="20"/>
        </w:rPr>
      </w:pPr>
    </w:p>
    <w:p>
      <w:pPr>
        <w:pStyle w:val="BodyText"/>
        <w:spacing w:before="7"/>
        <w:ind w:left="0" w:firstLine="0"/>
        <w:jc w:val="left"/>
        <w:rPr>
          <w:b/>
          <w:sz w:val="11"/>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17"/>
        <w:gridCol w:w="5571"/>
        <w:gridCol w:w="850"/>
        <w:gridCol w:w="1659"/>
      </w:tblGrid>
      <w:tr>
        <w:trPr>
          <w:trHeight w:val="414" w:hRule="atLeast"/>
        </w:trPr>
        <w:tc>
          <w:tcPr>
            <w:tcW w:w="1517" w:type="dxa"/>
            <w:shd w:val="clear" w:color="auto" w:fill="CCFFFF"/>
          </w:tcPr>
          <w:p>
            <w:pPr>
              <w:pStyle w:val="TableParagraph"/>
              <w:spacing w:line="206" w:lineRule="exact"/>
              <w:ind w:left="28" w:right="88"/>
              <w:rPr>
                <w:b/>
                <w:sz w:val="18"/>
              </w:rPr>
            </w:pPr>
            <w:r>
              <w:rPr>
                <w:b/>
                <w:sz w:val="18"/>
              </w:rPr>
              <w:t>plocha/ funkce/regulace</w:t>
            </w:r>
          </w:p>
        </w:tc>
        <w:tc>
          <w:tcPr>
            <w:tcW w:w="5571" w:type="dxa"/>
            <w:shd w:val="clear" w:color="auto" w:fill="CCFFFF"/>
          </w:tcPr>
          <w:p>
            <w:pPr>
              <w:pStyle w:val="TableParagraph"/>
              <w:spacing w:line="204" w:lineRule="exact"/>
              <w:ind w:left="28"/>
              <w:rPr>
                <w:b/>
                <w:sz w:val="18"/>
              </w:rPr>
            </w:pPr>
            <w:r>
              <w:rPr>
                <w:b/>
                <w:sz w:val="18"/>
              </w:rPr>
              <w:t>umístění / účel</w:t>
            </w:r>
          </w:p>
        </w:tc>
        <w:tc>
          <w:tcPr>
            <w:tcW w:w="850" w:type="dxa"/>
            <w:shd w:val="clear" w:color="auto" w:fill="CCFFFF"/>
          </w:tcPr>
          <w:p>
            <w:pPr>
              <w:pStyle w:val="TableParagraph"/>
              <w:spacing w:line="204" w:lineRule="exact"/>
              <w:ind w:left="27"/>
              <w:rPr>
                <w:b/>
                <w:sz w:val="18"/>
              </w:rPr>
            </w:pPr>
            <w:r>
              <w:rPr>
                <w:b/>
                <w:sz w:val="18"/>
              </w:rPr>
              <w:t>výměra</w:t>
            </w:r>
          </w:p>
        </w:tc>
        <w:tc>
          <w:tcPr>
            <w:tcW w:w="1659" w:type="dxa"/>
            <w:shd w:val="clear" w:color="auto" w:fill="CCFFFF"/>
          </w:tcPr>
          <w:p>
            <w:pPr>
              <w:pStyle w:val="TableParagraph"/>
              <w:spacing w:line="204" w:lineRule="exact"/>
              <w:ind w:left="29"/>
              <w:rPr>
                <w:b/>
                <w:sz w:val="18"/>
              </w:rPr>
            </w:pPr>
            <w:r>
              <w:rPr>
                <w:b/>
                <w:sz w:val="18"/>
              </w:rPr>
              <w:t>podmínky</w:t>
            </w:r>
          </w:p>
        </w:tc>
      </w:tr>
      <w:tr>
        <w:trPr>
          <w:trHeight w:val="208" w:hRule="atLeast"/>
        </w:trPr>
        <w:tc>
          <w:tcPr>
            <w:tcW w:w="1517" w:type="dxa"/>
            <w:tcBorders>
              <w:left w:val="single" w:sz="2" w:space="0" w:color="000000"/>
              <w:bottom w:val="single" w:sz="2" w:space="0" w:color="000000"/>
              <w:right w:val="single" w:sz="2" w:space="0" w:color="000000"/>
            </w:tcBorders>
          </w:tcPr>
          <w:p>
            <w:pPr>
              <w:pStyle w:val="TableParagraph"/>
              <w:spacing w:line="188" w:lineRule="exact"/>
              <w:ind w:left="88"/>
              <w:rPr>
                <w:sz w:val="18"/>
              </w:rPr>
            </w:pPr>
            <w:r>
              <w:rPr>
                <w:sz w:val="18"/>
              </w:rPr>
              <w:t>71.C.12.25.50</w:t>
            </w:r>
          </w:p>
        </w:tc>
        <w:tc>
          <w:tcPr>
            <w:tcW w:w="5571" w:type="dxa"/>
            <w:tcBorders>
              <w:left w:val="single" w:sz="2" w:space="0" w:color="000000"/>
              <w:bottom w:val="single" w:sz="2" w:space="0" w:color="000000"/>
              <w:right w:val="single" w:sz="2" w:space="0" w:color="000000"/>
            </w:tcBorders>
          </w:tcPr>
          <w:p>
            <w:pPr>
              <w:pStyle w:val="TableParagraph"/>
              <w:spacing w:line="188" w:lineRule="exact"/>
              <w:ind w:left="88"/>
              <w:rPr>
                <w:sz w:val="18"/>
              </w:rPr>
            </w:pPr>
            <w:r>
              <w:rPr>
                <w:sz w:val="18"/>
              </w:rPr>
              <w:t>Bílokostelecká – rozvoj městského centra v okolí bývalého statku</w:t>
            </w:r>
          </w:p>
        </w:tc>
        <w:tc>
          <w:tcPr>
            <w:tcW w:w="850" w:type="dxa"/>
            <w:tcBorders>
              <w:left w:val="single" w:sz="2" w:space="0" w:color="000000"/>
              <w:bottom w:val="single" w:sz="2" w:space="0" w:color="000000"/>
              <w:right w:val="single" w:sz="2" w:space="0" w:color="000000"/>
            </w:tcBorders>
          </w:tcPr>
          <w:p>
            <w:pPr>
              <w:pStyle w:val="TableParagraph"/>
              <w:spacing w:line="188" w:lineRule="exact"/>
              <w:ind w:left="0" w:right="45"/>
              <w:jc w:val="right"/>
              <w:rPr>
                <w:sz w:val="18"/>
              </w:rPr>
            </w:pPr>
            <w:r>
              <w:rPr>
                <w:w w:val="95"/>
                <w:sz w:val="18"/>
              </w:rPr>
              <w:t>8444</w:t>
            </w:r>
          </w:p>
        </w:tc>
        <w:tc>
          <w:tcPr>
            <w:tcW w:w="1659" w:type="dxa"/>
            <w:tcBorders>
              <w:left w:val="single" w:sz="2" w:space="0" w:color="000000"/>
              <w:bottom w:val="single" w:sz="2" w:space="0" w:color="000000"/>
              <w:right w:val="single" w:sz="2" w:space="0" w:color="000000"/>
            </w:tcBorders>
          </w:tcPr>
          <w:p>
            <w:pPr>
              <w:pStyle w:val="TableParagraph"/>
              <w:spacing w:line="188" w:lineRule="exact"/>
              <w:ind w:left="32"/>
              <w:rPr>
                <w:sz w:val="18"/>
              </w:rPr>
            </w:pPr>
            <w:r>
              <w:rPr>
                <w:sz w:val="18"/>
              </w:rPr>
              <w:t>H1</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72.P</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Pobřežní – Bílokostelecká – zklidněné napojení rozvojových ploch</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719</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H1</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73.B.12.15.70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Vítkovská – Polní – hlavní rozvojová plocha města pro bydlení</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96450</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H1</w:t>
            </w:r>
          </w:p>
        </w:tc>
      </w:tr>
      <w:tr>
        <w:trPr>
          <w:trHeight w:val="208"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74.B.12.15.70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Vítkovská – individuální bydlení v proluce u cesty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0" w:right="45"/>
              <w:jc w:val="right"/>
              <w:rPr>
                <w:sz w:val="18"/>
              </w:rPr>
            </w:pPr>
            <w:r>
              <w:rPr>
                <w:w w:val="95"/>
                <w:sz w:val="18"/>
              </w:rPr>
              <w:t>6346</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32"/>
              <w:rPr>
                <w:sz w:val="18"/>
              </w:rPr>
            </w:pPr>
            <w:r>
              <w:rPr>
                <w:sz w:val="18"/>
              </w:rPr>
              <w:t>H1, BK</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75.P</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Nádražní – Pobřežní – napojení rozvojových ploch, rekonst. mostu</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607</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BK</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76.P</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Nádražní – úprava přednádražního prostoru</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4838</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8"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77.A.15.30.40.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Nádražní – rozšíření servisních ploch</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0" w:right="45"/>
              <w:jc w:val="right"/>
              <w:rPr>
                <w:sz w:val="18"/>
              </w:rPr>
            </w:pPr>
            <w:r>
              <w:rPr>
                <w:w w:val="95"/>
                <w:sz w:val="18"/>
              </w:rPr>
              <w:t>8135</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32"/>
              <w:rPr>
                <w:sz w:val="18"/>
              </w:rPr>
            </w:pPr>
            <w:r>
              <w:rPr>
                <w:sz w:val="18"/>
              </w:rPr>
              <w:t>TI</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87.B.9.10.80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Vítkovská – individuální bydlení v proluce u cesty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15161</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H1</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88.B.15.20.60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Pobřežní – soustředěné bydlení ve vazbě na městské centrum</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7188</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H1</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89.A.12.30.40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Ještědská – rozšíření servisních ploch podél I/35</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4308</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H1</w:t>
            </w:r>
          </w:p>
        </w:tc>
      </w:tr>
      <w:tr>
        <w:trPr>
          <w:trHeight w:val="208" w:hRule="atLeast"/>
        </w:trPr>
        <w:tc>
          <w:tcPr>
            <w:tcW w:w="1517" w:type="dxa"/>
            <w:tcBorders>
              <w:top w:val="single" w:sz="2" w:space="0" w:color="000000"/>
              <w:left w:val="single" w:sz="2" w:space="0" w:color="000000"/>
              <w:right w:val="single" w:sz="2" w:space="0" w:color="000000"/>
            </w:tcBorders>
          </w:tcPr>
          <w:p>
            <w:pPr>
              <w:pStyle w:val="TableParagraph"/>
              <w:spacing w:line="187" w:lineRule="exact" w:before="1"/>
              <w:ind w:left="88"/>
              <w:rPr>
                <w:sz w:val="18"/>
              </w:rPr>
            </w:pPr>
            <w:r>
              <w:rPr>
                <w:sz w:val="18"/>
              </w:rPr>
              <w:t>Z1/3.B.12.15.70</w:t>
            </w:r>
          </w:p>
        </w:tc>
        <w:tc>
          <w:tcPr>
            <w:tcW w:w="5571" w:type="dxa"/>
            <w:tcBorders>
              <w:top w:val="single" w:sz="2" w:space="0" w:color="000000"/>
              <w:left w:val="single" w:sz="2" w:space="0" w:color="000000"/>
              <w:right w:val="single" w:sz="2" w:space="0" w:color="000000"/>
            </w:tcBorders>
          </w:tcPr>
          <w:p>
            <w:pPr>
              <w:pStyle w:val="TableParagraph"/>
              <w:spacing w:line="187" w:lineRule="exact" w:before="1"/>
              <w:ind w:left="88"/>
              <w:rPr>
                <w:sz w:val="18"/>
              </w:rPr>
            </w:pPr>
            <w:r>
              <w:rPr>
                <w:sz w:val="18"/>
              </w:rPr>
              <w:t>Vítkovská – individuální bydlení v proluce u cesty</w:t>
            </w:r>
          </w:p>
        </w:tc>
        <w:tc>
          <w:tcPr>
            <w:tcW w:w="850" w:type="dxa"/>
            <w:tcBorders>
              <w:top w:val="single" w:sz="2" w:space="0" w:color="000000"/>
              <w:left w:val="single" w:sz="2" w:space="0" w:color="000000"/>
              <w:right w:val="single" w:sz="2" w:space="0" w:color="000000"/>
            </w:tcBorders>
          </w:tcPr>
          <w:p>
            <w:pPr>
              <w:pStyle w:val="TableParagraph"/>
              <w:spacing w:line="187" w:lineRule="exact" w:before="1"/>
              <w:ind w:left="0" w:right="45"/>
              <w:jc w:val="right"/>
              <w:rPr>
                <w:sz w:val="18"/>
              </w:rPr>
            </w:pPr>
            <w:r>
              <w:rPr>
                <w:w w:val="95"/>
                <w:sz w:val="18"/>
              </w:rPr>
              <w:t>2200</w:t>
            </w:r>
          </w:p>
        </w:tc>
        <w:tc>
          <w:tcPr>
            <w:tcW w:w="1659" w:type="dxa"/>
            <w:tcBorders>
              <w:top w:val="single" w:sz="2" w:space="0" w:color="000000"/>
              <w:left w:val="single" w:sz="2" w:space="0" w:color="000000"/>
              <w:right w:val="single" w:sz="2" w:space="0" w:color="000000"/>
            </w:tcBorders>
          </w:tcPr>
          <w:p>
            <w:pPr>
              <w:pStyle w:val="TableParagraph"/>
              <w:spacing w:line="187" w:lineRule="exact" w:before="1"/>
              <w:ind w:left="32"/>
              <w:rPr>
                <w:sz w:val="18"/>
              </w:rPr>
            </w:pPr>
            <w:r>
              <w:rPr>
                <w:sz w:val="18"/>
              </w:rPr>
              <w:t>H1</w:t>
            </w:r>
          </w:p>
        </w:tc>
      </w:tr>
      <w:tr>
        <w:trPr>
          <w:trHeight w:val="205" w:hRule="atLeast"/>
        </w:trPr>
        <w:tc>
          <w:tcPr>
            <w:tcW w:w="7938" w:type="dxa"/>
            <w:gridSpan w:val="3"/>
            <w:shd w:val="clear" w:color="auto" w:fill="DADADA"/>
          </w:tcPr>
          <w:p>
            <w:pPr>
              <w:pStyle w:val="TableParagraph"/>
              <w:spacing w:line="186" w:lineRule="exact"/>
              <w:ind w:left="28"/>
              <w:rPr>
                <w:b/>
                <w:sz w:val="18"/>
              </w:rPr>
            </w:pPr>
            <w:r>
              <w:rPr>
                <w:b/>
                <w:sz w:val="18"/>
              </w:rPr>
              <w:t>k.ú. Horní Chrastava</w:t>
            </w:r>
          </w:p>
        </w:tc>
        <w:tc>
          <w:tcPr>
            <w:tcW w:w="1659" w:type="dxa"/>
            <w:shd w:val="clear" w:color="auto" w:fill="DADADA"/>
          </w:tcPr>
          <w:p>
            <w:pPr>
              <w:pStyle w:val="TableParagraph"/>
              <w:ind w:left="0"/>
              <w:rPr>
                <w:rFonts w:ascii="Times New Roman"/>
                <w:sz w:val="14"/>
              </w:rPr>
            </w:pPr>
          </w:p>
        </w:tc>
      </w:tr>
      <w:tr>
        <w:trPr>
          <w:trHeight w:val="208" w:hRule="atLeast"/>
        </w:trPr>
        <w:tc>
          <w:tcPr>
            <w:tcW w:w="1517" w:type="dxa"/>
            <w:tcBorders>
              <w:left w:val="single" w:sz="2" w:space="0" w:color="000000"/>
              <w:bottom w:val="single" w:sz="2" w:space="0" w:color="000000"/>
              <w:right w:val="single" w:sz="2" w:space="0" w:color="000000"/>
            </w:tcBorders>
          </w:tcPr>
          <w:p>
            <w:pPr>
              <w:pStyle w:val="TableParagraph"/>
              <w:spacing w:line="188" w:lineRule="exact"/>
              <w:ind w:left="88"/>
              <w:rPr>
                <w:sz w:val="18"/>
              </w:rPr>
            </w:pPr>
            <w:r>
              <w:rPr>
                <w:sz w:val="18"/>
              </w:rPr>
              <w:t>100.R.7.5.80</w:t>
            </w:r>
          </w:p>
        </w:tc>
        <w:tc>
          <w:tcPr>
            <w:tcW w:w="5571" w:type="dxa"/>
            <w:tcBorders>
              <w:left w:val="single" w:sz="2" w:space="0" w:color="000000"/>
              <w:bottom w:val="single" w:sz="2" w:space="0" w:color="000000"/>
              <w:right w:val="single" w:sz="2" w:space="0" w:color="000000"/>
            </w:tcBorders>
          </w:tcPr>
          <w:p>
            <w:pPr>
              <w:pStyle w:val="TableParagraph"/>
              <w:spacing w:line="188" w:lineRule="exact"/>
              <w:ind w:left="88"/>
              <w:rPr>
                <w:sz w:val="18"/>
              </w:rPr>
            </w:pPr>
            <w:r>
              <w:rPr>
                <w:sz w:val="18"/>
              </w:rPr>
              <w:t>Novoveská – rozšíření zahrádkové osady</w:t>
            </w:r>
          </w:p>
        </w:tc>
        <w:tc>
          <w:tcPr>
            <w:tcW w:w="850" w:type="dxa"/>
            <w:tcBorders>
              <w:left w:val="single" w:sz="2" w:space="0" w:color="000000"/>
              <w:bottom w:val="single" w:sz="2" w:space="0" w:color="000000"/>
              <w:right w:val="single" w:sz="2" w:space="0" w:color="000000"/>
            </w:tcBorders>
          </w:tcPr>
          <w:p>
            <w:pPr>
              <w:pStyle w:val="TableParagraph"/>
              <w:spacing w:line="188" w:lineRule="exact"/>
              <w:ind w:left="0" w:right="103"/>
              <w:jc w:val="right"/>
              <w:rPr>
                <w:sz w:val="18"/>
              </w:rPr>
            </w:pPr>
            <w:r>
              <w:rPr>
                <w:w w:val="95"/>
                <w:sz w:val="18"/>
              </w:rPr>
              <w:t>13615</w:t>
            </w:r>
          </w:p>
        </w:tc>
        <w:tc>
          <w:tcPr>
            <w:tcW w:w="1659" w:type="dxa"/>
            <w:tcBorders>
              <w:left w:val="single" w:sz="2" w:space="0" w:color="000000"/>
              <w:bottom w:val="single" w:sz="2" w:space="0" w:color="000000"/>
              <w:right w:val="single" w:sz="2" w:space="0" w:color="000000"/>
            </w:tcBorders>
          </w:tcPr>
          <w:p>
            <w:pPr>
              <w:pStyle w:val="TableParagraph"/>
              <w:spacing w:line="188" w:lineRule="exact"/>
              <w:ind w:left="89"/>
              <w:rPr>
                <w:sz w:val="18"/>
              </w:rPr>
            </w:pPr>
            <w:r>
              <w:rPr>
                <w:sz w:val="18"/>
              </w:rPr>
              <w:t>BK</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101.R.7.5.80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Novoveská – rozšíření zahrádkové osady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103"/>
              <w:jc w:val="right"/>
              <w:rPr>
                <w:sz w:val="18"/>
              </w:rPr>
            </w:pPr>
            <w:r>
              <w:rPr>
                <w:w w:val="95"/>
                <w:sz w:val="18"/>
              </w:rPr>
              <w:t>2329</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102.B.12.15.70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Nad Frýdlantskou - individuální bydlení na okraji zástavby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1148</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8"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103.B.12.15.70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Nad Frýdlantskou - individuální bydlení na okraji zástavby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0" w:right="45"/>
              <w:jc w:val="right"/>
              <w:rPr>
                <w:sz w:val="18"/>
              </w:rPr>
            </w:pPr>
            <w:r>
              <w:rPr>
                <w:w w:val="95"/>
                <w:sz w:val="18"/>
              </w:rPr>
              <w:t>2954</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32"/>
              <w:rPr>
                <w:sz w:val="18"/>
              </w:rPr>
            </w:pPr>
            <w:r>
              <w:rPr>
                <w:sz w:val="18"/>
              </w:rPr>
              <w:t>BK</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107.B.12.15.70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Nad Frýdlantskou - individuální bydlení v proluce u cesty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2712</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110.B.9.10.80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Vysoká – individuální bydlení v proluce u cesty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13169</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8"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111.F</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Vysoká – legalizace agroletiště</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0" w:right="45"/>
              <w:jc w:val="right"/>
              <w:rPr>
                <w:sz w:val="18"/>
              </w:rPr>
            </w:pPr>
            <w:r>
              <w:rPr>
                <w:w w:val="95"/>
                <w:sz w:val="18"/>
              </w:rPr>
              <w:t>8564</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120.B.9.10.80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Víska – individuální bydlení v proluce u cesty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3520</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121.B.9.10.80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Víska – individuální bydlení v proluce u cesty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2086</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8"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122.B.9.10.80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Víska – individuální bydlení v proluce u cesty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0" w:right="45"/>
              <w:jc w:val="right"/>
              <w:rPr>
                <w:sz w:val="18"/>
              </w:rPr>
            </w:pPr>
            <w:r>
              <w:rPr>
                <w:w w:val="95"/>
                <w:sz w:val="18"/>
              </w:rPr>
              <w:t>7937</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32"/>
              <w:rPr>
                <w:sz w:val="18"/>
              </w:rPr>
            </w:pPr>
            <w:r>
              <w:rPr>
                <w:sz w:val="18"/>
              </w:rPr>
              <w:t>4ST</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123.P</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Víska - obsluha plochy rodinných domů</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1071</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124.B.9.10.80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Víska – individuální bydlení na okraji zástavby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2584</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2 St</w:t>
            </w:r>
          </w:p>
        </w:tc>
      </w:tr>
      <w:tr>
        <w:trPr>
          <w:trHeight w:val="208"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125.B.9.10.80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Víska – individuální bydlení na okraji zástavby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0" w:right="45"/>
              <w:jc w:val="right"/>
              <w:rPr>
                <w:sz w:val="18"/>
              </w:rPr>
            </w:pPr>
            <w:r>
              <w:rPr>
                <w:w w:val="95"/>
                <w:sz w:val="18"/>
              </w:rPr>
              <w:t>1695</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32"/>
              <w:rPr>
                <w:sz w:val="18"/>
              </w:rPr>
            </w:pPr>
            <w:r>
              <w:rPr>
                <w:sz w:val="18"/>
              </w:rPr>
              <w:t>1 St</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Z1/1.B.9.7.85</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Novoveská – individuální bydlení na okraji zástavby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103"/>
              <w:jc w:val="right"/>
              <w:rPr>
                <w:sz w:val="18"/>
              </w:rPr>
            </w:pPr>
            <w:r>
              <w:rPr>
                <w:w w:val="95"/>
                <w:sz w:val="18"/>
              </w:rPr>
              <w:t>2329</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9"/>
              <w:rPr>
                <w:sz w:val="18"/>
              </w:rPr>
            </w:pPr>
            <w:r>
              <w:rPr>
                <w:sz w:val="18"/>
              </w:rPr>
              <w:t>1 St</w:t>
            </w:r>
          </w:p>
        </w:tc>
      </w:tr>
      <w:tr>
        <w:trPr>
          <w:trHeight w:val="621" w:hRule="atLeast"/>
        </w:trPr>
        <w:tc>
          <w:tcPr>
            <w:tcW w:w="1517" w:type="dxa"/>
            <w:tcBorders>
              <w:top w:val="single" w:sz="2" w:space="0" w:color="000000"/>
              <w:left w:val="single" w:sz="2" w:space="0" w:color="000000"/>
              <w:right w:val="single" w:sz="2" w:space="0" w:color="000000"/>
            </w:tcBorders>
          </w:tcPr>
          <w:p>
            <w:pPr>
              <w:pStyle w:val="TableParagraph"/>
              <w:spacing w:line="206" w:lineRule="exact"/>
              <w:ind w:left="88"/>
              <w:rPr>
                <w:sz w:val="18"/>
              </w:rPr>
            </w:pPr>
            <w:r>
              <w:rPr>
                <w:sz w:val="18"/>
              </w:rPr>
              <w:t>Z1/7.B.9.10.80</w:t>
            </w:r>
          </w:p>
        </w:tc>
        <w:tc>
          <w:tcPr>
            <w:tcW w:w="5571" w:type="dxa"/>
            <w:tcBorders>
              <w:top w:val="single" w:sz="2" w:space="0" w:color="000000"/>
              <w:left w:val="single" w:sz="2" w:space="0" w:color="000000"/>
              <w:right w:val="single" w:sz="2" w:space="0" w:color="000000"/>
            </w:tcBorders>
          </w:tcPr>
          <w:p>
            <w:pPr>
              <w:pStyle w:val="TableParagraph"/>
              <w:spacing w:line="206" w:lineRule="exact"/>
              <w:ind w:left="88"/>
              <w:rPr>
                <w:sz w:val="18"/>
              </w:rPr>
            </w:pPr>
            <w:r>
              <w:rPr>
                <w:sz w:val="18"/>
              </w:rPr>
              <w:t>Novoveská – individuální bydlení na okraji zástavby</w:t>
            </w:r>
          </w:p>
        </w:tc>
        <w:tc>
          <w:tcPr>
            <w:tcW w:w="850" w:type="dxa"/>
            <w:tcBorders>
              <w:top w:val="single" w:sz="2" w:space="0" w:color="000000"/>
              <w:left w:val="single" w:sz="2" w:space="0" w:color="000000"/>
              <w:right w:val="single" w:sz="2" w:space="0" w:color="000000"/>
            </w:tcBorders>
          </w:tcPr>
          <w:p>
            <w:pPr>
              <w:pStyle w:val="TableParagraph"/>
              <w:spacing w:line="206" w:lineRule="exact"/>
              <w:ind w:left="0" w:right="103"/>
              <w:jc w:val="right"/>
              <w:rPr>
                <w:sz w:val="18"/>
              </w:rPr>
            </w:pPr>
            <w:r>
              <w:rPr>
                <w:w w:val="95"/>
                <w:sz w:val="18"/>
              </w:rPr>
              <w:t>1726</w:t>
            </w:r>
          </w:p>
        </w:tc>
        <w:tc>
          <w:tcPr>
            <w:tcW w:w="1659" w:type="dxa"/>
            <w:tcBorders>
              <w:top w:val="single" w:sz="2" w:space="0" w:color="000000"/>
              <w:left w:val="single" w:sz="2" w:space="0" w:color="000000"/>
              <w:right w:val="single" w:sz="2" w:space="0" w:color="000000"/>
            </w:tcBorders>
          </w:tcPr>
          <w:p>
            <w:pPr>
              <w:pStyle w:val="TableParagraph"/>
              <w:spacing w:line="206" w:lineRule="exact" w:before="3"/>
              <w:ind w:left="89" w:right="-27"/>
              <w:rPr>
                <w:sz w:val="18"/>
              </w:rPr>
            </w:pPr>
            <w:r>
              <w:rPr>
                <w:sz w:val="18"/>
              </w:rPr>
              <w:t>uvedení do souladu se stavem, realizováno</w:t>
            </w:r>
          </w:p>
        </w:tc>
      </w:tr>
      <w:tr>
        <w:trPr>
          <w:trHeight w:val="205" w:hRule="atLeast"/>
        </w:trPr>
        <w:tc>
          <w:tcPr>
            <w:tcW w:w="7938" w:type="dxa"/>
            <w:gridSpan w:val="3"/>
            <w:shd w:val="clear" w:color="auto" w:fill="DADADA"/>
          </w:tcPr>
          <w:p>
            <w:pPr>
              <w:pStyle w:val="TableParagraph"/>
              <w:spacing w:line="186" w:lineRule="exact"/>
              <w:ind w:left="28"/>
              <w:rPr>
                <w:b/>
                <w:sz w:val="18"/>
              </w:rPr>
            </w:pPr>
            <w:r>
              <w:rPr>
                <w:b/>
                <w:sz w:val="18"/>
              </w:rPr>
              <w:t>k.ú. Andělská Hora</w:t>
            </w:r>
          </w:p>
        </w:tc>
        <w:tc>
          <w:tcPr>
            <w:tcW w:w="1659" w:type="dxa"/>
            <w:shd w:val="clear" w:color="auto" w:fill="DADADA"/>
          </w:tcPr>
          <w:p>
            <w:pPr>
              <w:pStyle w:val="TableParagraph"/>
              <w:ind w:left="0"/>
              <w:rPr>
                <w:rFonts w:ascii="Times New Roman"/>
                <w:sz w:val="14"/>
              </w:rPr>
            </w:pPr>
          </w:p>
        </w:tc>
      </w:tr>
      <w:tr>
        <w:trPr>
          <w:trHeight w:val="208" w:hRule="atLeast"/>
        </w:trPr>
        <w:tc>
          <w:tcPr>
            <w:tcW w:w="1517" w:type="dxa"/>
            <w:tcBorders>
              <w:left w:val="single" w:sz="2" w:space="0" w:color="000000"/>
              <w:bottom w:val="single" w:sz="2" w:space="0" w:color="000000"/>
              <w:right w:val="single" w:sz="2" w:space="0" w:color="000000"/>
            </w:tcBorders>
          </w:tcPr>
          <w:p>
            <w:pPr>
              <w:pStyle w:val="TableParagraph"/>
              <w:spacing w:line="188" w:lineRule="exact"/>
              <w:ind w:left="88"/>
              <w:rPr>
                <w:sz w:val="18"/>
              </w:rPr>
            </w:pPr>
            <w:r>
              <w:rPr>
                <w:sz w:val="18"/>
              </w:rPr>
              <w:t>130.P</w:t>
            </w:r>
          </w:p>
        </w:tc>
        <w:tc>
          <w:tcPr>
            <w:tcW w:w="5571" w:type="dxa"/>
            <w:tcBorders>
              <w:left w:val="single" w:sz="2" w:space="0" w:color="000000"/>
              <w:bottom w:val="single" w:sz="2" w:space="0" w:color="000000"/>
              <w:right w:val="single" w:sz="2" w:space="0" w:color="000000"/>
            </w:tcBorders>
          </w:tcPr>
          <w:p>
            <w:pPr>
              <w:pStyle w:val="TableParagraph"/>
              <w:spacing w:line="188" w:lineRule="exact"/>
              <w:ind w:left="88"/>
              <w:rPr>
                <w:sz w:val="18"/>
              </w:rPr>
            </w:pPr>
            <w:r>
              <w:rPr>
                <w:sz w:val="18"/>
              </w:rPr>
              <w:t>Andělohorská – nástup k lyžařskému areálu</w:t>
            </w:r>
          </w:p>
        </w:tc>
        <w:tc>
          <w:tcPr>
            <w:tcW w:w="850" w:type="dxa"/>
            <w:tcBorders>
              <w:left w:val="single" w:sz="2" w:space="0" w:color="000000"/>
              <w:bottom w:val="single" w:sz="2" w:space="0" w:color="000000"/>
              <w:right w:val="single" w:sz="2" w:space="0" w:color="000000"/>
            </w:tcBorders>
          </w:tcPr>
          <w:p>
            <w:pPr>
              <w:pStyle w:val="TableParagraph"/>
              <w:spacing w:line="188" w:lineRule="exact"/>
              <w:ind w:left="0" w:right="45"/>
              <w:jc w:val="right"/>
              <w:rPr>
                <w:sz w:val="18"/>
              </w:rPr>
            </w:pPr>
            <w:r>
              <w:rPr>
                <w:w w:val="95"/>
                <w:sz w:val="18"/>
              </w:rPr>
              <w:t>496</w:t>
            </w:r>
          </w:p>
        </w:tc>
        <w:tc>
          <w:tcPr>
            <w:tcW w:w="1659" w:type="dxa"/>
            <w:tcBorders>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131.B.9.15.70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Andělská Hora – individuální bydlení v proluce u cesty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5011</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132.A.15.30.40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Andělohorská – smíšené aktivity v proluce areálů</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944</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H1, BK</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133.S.9.10.30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Andělská Hora – založení sportovního areálu u staré elektrárny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14625</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BK</w:t>
            </w:r>
          </w:p>
        </w:tc>
      </w:tr>
      <w:tr>
        <w:trPr>
          <w:trHeight w:val="208"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7" w:lineRule="exact" w:before="1"/>
              <w:ind w:left="88"/>
              <w:rPr>
                <w:sz w:val="18"/>
              </w:rPr>
            </w:pPr>
            <w:r>
              <w:rPr>
                <w:sz w:val="18"/>
              </w:rPr>
              <w:t>136.B.9.10.80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7" w:lineRule="exact" w:before="1"/>
              <w:ind w:left="88"/>
              <w:rPr>
                <w:sz w:val="18"/>
              </w:rPr>
            </w:pPr>
            <w:r>
              <w:rPr>
                <w:sz w:val="18"/>
              </w:rPr>
              <w:t>Andělská Hora – individuální bydlení na okraji zástavby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7" w:lineRule="exact" w:before="1"/>
              <w:ind w:left="0" w:right="45"/>
              <w:jc w:val="right"/>
              <w:rPr>
                <w:sz w:val="18"/>
              </w:rPr>
            </w:pPr>
            <w:r>
              <w:rPr>
                <w:w w:val="95"/>
                <w:sz w:val="18"/>
              </w:rPr>
              <w:t>13992</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7" w:lineRule="exact" w:before="1"/>
              <w:ind w:left="32"/>
              <w:rPr>
                <w:sz w:val="18"/>
              </w:rPr>
            </w:pPr>
            <w:r>
              <w:rPr>
                <w:sz w:val="18"/>
              </w:rPr>
              <w:t>H1</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137.B.12.20.60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Andělohorská – individuální bydlení v proluce u cesty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1795</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H1, BK</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138.B.9.10.80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Andělská Hora – individuální bydlení na okraji zástavby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9702</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8"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7" w:lineRule="exact" w:before="1"/>
              <w:ind w:left="88"/>
              <w:rPr>
                <w:sz w:val="18"/>
              </w:rPr>
            </w:pPr>
            <w:r>
              <w:rPr>
                <w:sz w:val="18"/>
              </w:rPr>
              <w:t>139.B.9.10.80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7" w:lineRule="exact" w:before="1"/>
              <w:ind w:left="88"/>
              <w:rPr>
                <w:sz w:val="18"/>
              </w:rPr>
            </w:pPr>
            <w:r>
              <w:rPr>
                <w:sz w:val="18"/>
              </w:rPr>
              <w:t>Andělská Hora – individuální bydlení na okraji zástavby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7" w:lineRule="exact" w:before="1"/>
              <w:ind w:left="0" w:right="45"/>
              <w:jc w:val="right"/>
              <w:rPr>
                <w:sz w:val="18"/>
              </w:rPr>
            </w:pPr>
            <w:r>
              <w:rPr>
                <w:w w:val="95"/>
                <w:sz w:val="18"/>
              </w:rPr>
              <w:t>7461</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7" w:lineRule="exact" w:before="1"/>
              <w:ind w:left="32"/>
              <w:rPr>
                <w:sz w:val="18"/>
              </w:rPr>
            </w:pPr>
            <w:r>
              <w:rPr>
                <w:sz w:val="18"/>
              </w:rPr>
              <w:t>H1</w:t>
            </w:r>
          </w:p>
        </w:tc>
      </w:tr>
      <w:tr>
        <w:trPr>
          <w:trHeight w:val="206" w:hRule="atLeast"/>
        </w:trPr>
        <w:tc>
          <w:tcPr>
            <w:tcW w:w="1517" w:type="dxa"/>
            <w:tcBorders>
              <w:top w:val="single" w:sz="2" w:space="0" w:color="000000"/>
              <w:left w:val="single" w:sz="2" w:space="0" w:color="000000"/>
              <w:right w:val="single" w:sz="2" w:space="0" w:color="000000"/>
            </w:tcBorders>
          </w:tcPr>
          <w:p>
            <w:pPr>
              <w:pStyle w:val="TableParagraph"/>
              <w:spacing w:line="186" w:lineRule="exact"/>
              <w:ind w:left="88"/>
              <w:rPr>
                <w:sz w:val="18"/>
              </w:rPr>
            </w:pPr>
            <w:r>
              <w:rPr>
                <w:sz w:val="18"/>
              </w:rPr>
              <w:t>Z1/5.B.9.10.80</w:t>
            </w:r>
          </w:p>
        </w:tc>
        <w:tc>
          <w:tcPr>
            <w:tcW w:w="5571" w:type="dxa"/>
            <w:tcBorders>
              <w:top w:val="single" w:sz="2" w:space="0" w:color="000000"/>
              <w:left w:val="single" w:sz="2" w:space="0" w:color="000000"/>
              <w:right w:val="single" w:sz="2" w:space="0" w:color="000000"/>
            </w:tcBorders>
          </w:tcPr>
          <w:p>
            <w:pPr>
              <w:pStyle w:val="TableParagraph"/>
              <w:spacing w:line="186" w:lineRule="exact"/>
              <w:ind w:left="88"/>
              <w:rPr>
                <w:sz w:val="18"/>
              </w:rPr>
            </w:pPr>
            <w:r>
              <w:rPr>
                <w:sz w:val="18"/>
              </w:rPr>
              <w:t>Andělská Hora – individuální bydlení na okraji zástavby</w:t>
            </w:r>
          </w:p>
        </w:tc>
        <w:tc>
          <w:tcPr>
            <w:tcW w:w="850" w:type="dxa"/>
            <w:tcBorders>
              <w:top w:val="single" w:sz="2" w:space="0" w:color="000000"/>
              <w:left w:val="single" w:sz="2" w:space="0" w:color="000000"/>
              <w:right w:val="single" w:sz="2" w:space="0" w:color="000000"/>
            </w:tcBorders>
          </w:tcPr>
          <w:p>
            <w:pPr>
              <w:pStyle w:val="TableParagraph"/>
              <w:spacing w:line="186" w:lineRule="exact"/>
              <w:ind w:left="0" w:right="45"/>
              <w:jc w:val="right"/>
              <w:rPr>
                <w:sz w:val="18"/>
              </w:rPr>
            </w:pPr>
            <w:r>
              <w:rPr>
                <w:w w:val="95"/>
                <w:sz w:val="18"/>
              </w:rPr>
              <w:t>1500</w:t>
            </w:r>
          </w:p>
        </w:tc>
        <w:tc>
          <w:tcPr>
            <w:tcW w:w="1659" w:type="dxa"/>
            <w:tcBorders>
              <w:top w:val="single" w:sz="2" w:space="0" w:color="000000"/>
              <w:left w:val="single" w:sz="2" w:space="0" w:color="000000"/>
              <w:right w:val="single" w:sz="2" w:space="0" w:color="000000"/>
            </w:tcBorders>
          </w:tcPr>
          <w:p>
            <w:pPr>
              <w:pStyle w:val="TableParagraph"/>
              <w:spacing w:line="186" w:lineRule="exact"/>
              <w:ind w:left="32"/>
              <w:rPr>
                <w:sz w:val="18"/>
              </w:rPr>
            </w:pPr>
            <w:r>
              <w:rPr>
                <w:sz w:val="18"/>
              </w:rPr>
              <w:t>1 St</w:t>
            </w:r>
          </w:p>
        </w:tc>
      </w:tr>
      <w:tr>
        <w:trPr>
          <w:trHeight w:val="208" w:hRule="atLeast"/>
        </w:trPr>
        <w:tc>
          <w:tcPr>
            <w:tcW w:w="7938" w:type="dxa"/>
            <w:gridSpan w:val="3"/>
            <w:shd w:val="clear" w:color="auto" w:fill="DADADA"/>
          </w:tcPr>
          <w:p>
            <w:pPr>
              <w:pStyle w:val="TableParagraph"/>
              <w:spacing w:line="188" w:lineRule="exact"/>
              <w:ind w:left="28"/>
              <w:rPr>
                <w:b/>
                <w:sz w:val="18"/>
              </w:rPr>
            </w:pPr>
            <w:r>
              <w:rPr>
                <w:b/>
                <w:sz w:val="18"/>
              </w:rPr>
              <w:t>k.ú. Dolní Vítkov</w:t>
            </w:r>
          </w:p>
        </w:tc>
        <w:tc>
          <w:tcPr>
            <w:tcW w:w="1659" w:type="dxa"/>
            <w:shd w:val="clear" w:color="auto" w:fill="DADADA"/>
          </w:tcPr>
          <w:p>
            <w:pPr>
              <w:pStyle w:val="TableParagraph"/>
              <w:ind w:left="0"/>
              <w:rPr>
                <w:rFonts w:ascii="Times New Roman"/>
                <w:sz w:val="14"/>
              </w:rPr>
            </w:pPr>
          </w:p>
        </w:tc>
      </w:tr>
      <w:tr>
        <w:trPr>
          <w:trHeight w:val="206" w:hRule="atLeast"/>
        </w:trPr>
        <w:tc>
          <w:tcPr>
            <w:tcW w:w="1517" w:type="dxa"/>
            <w:tcBorders>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150.B.12.20.60</w:t>
            </w:r>
          </w:p>
        </w:tc>
        <w:tc>
          <w:tcPr>
            <w:tcW w:w="5571" w:type="dxa"/>
            <w:tcBorders>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Dolní Vítkov - individuální bydlení v proluce u cesty</w:t>
            </w:r>
          </w:p>
        </w:tc>
        <w:tc>
          <w:tcPr>
            <w:tcW w:w="850" w:type="dxa"/>
            <w:tcBorders>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966</w:t>
            </w:r>
          </w:p>
        </w:tc>
        <w:tc>
          <w:tcPr>
            <w:tcW w:w="1659" w:type="dxa"/>
            <w:tcBorders>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H1, BK</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151.B.12.15.70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Dolní Vítkov - individuální bydlení v proluce u cesty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1228</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BK</w:t>
            </w:r>
          </w:p>
        </w:tc>
      </w:tr>
      <w:tr>
        <w:trPr>
          <w:trHeight w:val="208"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152.A.12.20.60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Dolní Vítkov – smíšené aktivity v centru sídla</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0" w:right="45"/>
              <w:jc w:val="right"/>
              <w:rPr>
                <w:sz w:val="18"/>
              </w:rPr>
            </w:pPr>
            <w:r>
              <w:rPr>
                <w:w w:val="95"/>
                <w:sz w:val="18"/>
              </w:rPr>
              <w:t>5369</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32"/>
              <w:rPr>
                <w:sz w:val="18"/>
              </w:rPr>
            </w:pPr>
            <w:r>
              <w:rPr>
                <w:sz w:val="18"/>
              </w:rPr>
              <w:t>H1, BK</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153.B.12.15.70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Dolní Vítkov - individuální bydlení v proluce u cesty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2409</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154.B.12.15.70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Dolní Vítkov - individuální bydlení v proluce u cesty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3149</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H1, BK</w:t>
            </w:r>
          </w:p>
        </w:tc>
      </w:tr>
      <w:tr>
        <w:trPr>
          <w:trHeight w:val="208"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155.B.9.15.70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Dolní Vítkov - individuální bydlení na okraji zástavby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0" w:right="45"/>
              <w:jc w:val="right"/>
              <w:rPr>
                <w:sz w:val="18"/>
              </w:rPr>
            </w:pPr>
            <w:r>
              <w:rPr>
                <w:w w:val="95"/>
                <w:sz w:val="18"/>
              </w:rPr>
              <w:t>2446</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157.B.12.15.70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Dolní Vítkov - individuální bydlení v proluce u cesty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1989</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BK</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158.B.12.15.70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Dolní Vítkov - individuální bydlení na okraji zástavby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1261</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BK</w:t>
            </w:r>
          </w:p>
        </w:tc>
      </w:tr>
      <w:tr>
        <w:trPr>
          <w:trHeight w:val="208"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159.B.12.15.70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Dolní Vítkov - individuální bydlení v proluce u cesty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0" w:right="45"/>
              <w:jc w:val="right"/>
              <w:rPr>
                <w:sz w:val="18"/>
              </w:rPr>
            </w:pPr>
            <w:r>
              <w:rPr>
                <w:w w:val="95"/>
                <w:sz w:val="18"/>
              </w:rPr>
              <w:t>935</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32"/>
              <w:rPr>
                <w:sz w:val="18"/>
              </w:rPr>
            </w:pPr>
            <w:r>
              <w:rPr>
                <w:sz w:val="18"/>
              </w:rPr>
              <w:t>H1, BK</w:t>
            </w:r>
          </w:p>
        </w:tc>
      </w:tr>
      <w:tr>
        <w:trPr>
          <w:trHeight w:val="206" w:hRule="atLeast"/>
        </w:trPr>
        <w:tc>
          <w:tcPr>
            <w:tcW w:w="1517" w:type="dxa"/>
            <w:tcBorders>
              <w:top w:val="single" w:sz="2" w:space="0" w:color="000000"/>
              <w:left w:val="single" w:sz="2" w:space="0" w:color="000000"/>
              <w:right w:val="single" w:sz="2" w:space="0" w:color="000000"/>
            </w:tcBorders>
          </w:tcPr>
          <w:p>
            <w:pPr>
              <w:pStyle w:val="TableParagraph"/>
              <w:spacing w:line="186" w:lineRule="exact"/>
              <w:ind w:left="88"/>
              <w:rPr>
                <w:sz w:val="18"/>
              </w:rPr>
            </w:pPr>
            <w:r>
              <w:rPr>
                <w:sz w:val="18"/>
              </w:rPr>
              <w:t>161.B.9.15.70</w:t>
            </w:r>
          </w:p>
        </w:tc>
        <w:tc>
          <w:tcPr>
            <w:tcW w:w="5571" w:type="dxa"/>
            <w:tcBorders>
              <w:top w:val="single" w:sz="2" w:space="0" w:color="000000"/>
              <w:left w:val="single" w:sz="2" w:space="0" w:color="000000"/>
              <w:right w:val="single" w:sz="2" w:space="0" w:color="000000"/>
            </w:tcBorders>
          </w:tcPr>
          <w:p>
            <w:pPr>
              <w:pStyle w:val="TableParagraph"/>
              <w:spacing w:line="186" w:lineRule="exact"/>
              <w:ind w:left="88"/>
              <w:rPr>
                <w:sz w:val="18"/>
              </w:rPr>
            </w:pPr>
            <w:r>
              <w:rPr>
                <w:sz w:val="18"/>
              </w:rPr>
              <w:t>Dolní Vítkov – individuální bydlení na okraji zástavby</w:t>
            </w:r>
          </w:p>
        </w:tc>
        <w:tc>
          <w:tcPr>
            <w:tcW w:w="850" w:type="dxa"/>
            <w:tcBorders>
              <w:top w:val="single" w:sz="2" w:space="0" w:color="000000"/>
              <w:left w:val="single" w:sz="2" w:space="0" w:color="000000"/>
              <w:right w:val="single" w:sz="2" w:space="0" w:color="000000"/>
            </w:tcBorders>
          </w:tcPr>
          <w:p>
            <w:pPr>
              <w:pStyle w:val="TableParagraph"/>
              <w:spacing w:line="186" w:lineRule="exact"/>
              <w:ind w:left="0" w:right="45"/>
              <w:jc w:val="right"/>
              <w:rPr>
                <w:sz w:val="18"/>
              </w:rPr>
            </w:pPr>
            <w:r>
              <w:rPr>
                <w:w w:val="95"/>
                <w:sz w:val="18"/>
              </w:rPr>
              <w:t>2870</w:t>
            </w:r>
          </w:p>
        </w:tc>
        <w:tc>
          <w:tcPr>
            <w:tcW w:w="1659" w:type="dxa"/>
            <w:tcBorders>
              <w:top w:val="single" w:sz="2" w:space="0" w:color="000000"/>
              <w:left w:val="single" w:sz="2" w:space="0" w:color="000000"/>
              <w:right w:val="single" w:sz="2" w:space="0" w:color="000000"/>
            </w:tcBorders>
          </w:tcPr>
          <w:p>
            <w:pPr>
              <w:pStyle w:val="TableParagraph"/>
              <w:spacing w:line="186" w:lineRule="exact"/>
              <w:ind w:left="32"/>
              <w:rPr>
                <w:sz w:val="18"/>
              </w:rPr>
            </w:pPr>
            <w:r>
              <w:rPr>
                <w:sz w:val="18"/>
              </w:rPr>
              <w:t>2St</w:t>
            </w:r>
          </w:p>
        </w:tc>
      </w:tr>
      <w:tr>
        <w:trPr>
          <w:trHeight w:val="205" w:hRule="atLeast"/>
        </w:trPr>
        <w:tc>
          <w:tcPr>
            <w:tcW w:w="7938" w:type="dxa"/>
            <w:gridSpan w:val="3"/>
            <w:shd w:val="clear" w:color="auto" w:fill="DADADA"/>
          </w:tcPr>
          <w:p>
            <w:pPr>
              <w:pStyle w:val="TableParagraph"/>
              <w:spacing w:line="186" w:lineRule="exact"/>
              <w:ind w:left="28"/>
              <w:rPr>
                <w:b/>
                <w:sz w:val="18"/>
              </w:rPr>
            </w:pPr>
            <w:r>
              <w:rPr>
                <w:b/>
                <w:sz w:val="18"/>
              </w:rPr>
              <w:t>k.ú. Horní Vítkov</w:t>
            </w:r>
          </w:p>
        </w:tc>
        <w:tc>
          <w:tcPr>
            <w:tcW w:w="1659" w:type="dxa"/>
            <w:shd w:val="clear" w:color="auto" w:fill="DADADA"/>
          </w:tcPr>
          <w:p>
            <w:pPr>
              <w:pStyle w:val="TableParagraph"/>
              <w:ind w:left="0"/>
              <w:rPr>
                <w:rFonts w:ascii="Times New Roman"/>
                <w:sz w:val="14"/>
              </w:rPr>
            </w:pPr>
          </w:p>
        </w:tc>
      </w:tr>
      <w:tr>
        <w:trPr>
          <w:trHeight w:val="208" w:hRule="atLeast"/>
        </w:trPr>
        <w:tc>
          <w:tcPr>
            <w:tcW w:w="1517" w:type="dxa"/>
            <w:tcBorders>
              <w:left w:val="single" w:sz="2" w:space="0" w:color="000000"/>
              <w:bottom w:val="single" w:sz="2" w:space="0" w:color="000000"/>
              <w:right w:val="single" w:sz="2" w:space="0" w:color="000000"/>
            </w:tcBorders>
          </w:tcPr>
          <w:p>
            <w:pPr>
              <w:pStyle w:val="TableParagraph"/>
              <w:spacing w:line="188" w:lineRule="exact"/>
              <w:ind w:left="88"/>
              <w:rPr>
                <w:sz w:val="18"/>
              </w:rPr>
            </w:pPr>
            <w:r>
              <w:rPr>
                <w:sz w:val="18"/>
              </w:rPr>
              <w:t>170.B.12.15.70</w:t>
            </w:r>
          </w:p>
        </w:tc>
        <w:tc>
          <w:tcPr>
            <w:tcW w:w="5571" w:type="dxa"/>
            <w:tcBorders>
              <w:left w:val="single" w:sz="2" w:space="0" w:color="000000"/>
              <w:bottom w:val="single" w:sz="2" w:space="0" w:color="000000"/>
              <w:right w:val="single" w:sz="2" w:space="0" w:color="000000"/>
            </w:tcBorders>
          </w:tcPr>
          <w:p>
            <w:pPr>
              <w:pStyle w:val="TableParagraph"/>
              <w:spacing w:line="188" w:lineRule="exact"/>
              <w:ind w:left="88"/>
              <w:rPr>
                <w:sz w:val="18"/>
              </w:rPr>
            </w:pPr>
            <w:r>
              <w:rPr>
                <w:sz w:val="18"/>
              </w:rPr>
              <w:t>Horní Vítkov - individuální bydlení v proluce u cesty</w:t>
            </w:r>
          </w:p>
        </w:tc>
        <w:tc>
          <w:tcPr>
            <w:tcW w:w="850" w:type="dxa"/>
            <w:tcBorders>
              <w:left w:val="single" w:sz="2" w:space="0" w:color="000000"/>
              <w:bottom w:val="single" w:sz="2" w:space="0" w:color="000000"/>
              <w:right w:val="single" w:sz="2" w:space="0" w:color="000000"/>
            </w:tcBorders>
          </w:tcPr>
          <w:p>
            <w:pPr>
              <w:pStyle w:val="TableParagraph"/>
              <w:spacing w:line="188" w:lineRule="exact"/>
              <w:ind w:left="0" w:right="45"/>
              <w:jc w:val="right"/>
              <w:rPr>
                <w:sz w:val="18"/>
              </w:rPr>
            </w:pPr>
            <w:r>
              <w:rPr>
                <w:w w:val="95"/>
                <w:sz w:val="18"/>
              </w:rPr>
              <w:t>4918</w:t>
            </w:r>
          </w:p>
        </w:tc>
        <w:tc>
          <w:tcPr>
            <w:tcW w:w="1659" w:type="dxa"/>
            <w:tcBorders>
              <w:left w:val="single" w:sz="2" w:space="0" w:color="000000"/>
              <w:bottom w:val="single" w:sz="2" w:space="0" w:color="000000"/>
              <w:right w:val="single" w:sz="2" w:space="0" w:color="000000"/>
            </w:tcBorders>
          </w:tcPr>
          <w:p>
            <w:pPr>
              <w:pStyle w:val="TableParagraph"/>
              <w:spacing w:line="188" w:lineRule="exact"/>
              <w:ind w:left="32"/>
              <w:rPr>
                <w:sz w:val="18"/>
              </w:rPr>
            </w:pPr>
            <w:r>
              <w:rPr>
                <w:sz w:val="18"/>
              </w:rPr>
              <w:t>H1, BK</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171.B.12.15.70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Horní Vítkov - individuální bydlení v proluce u cesty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1462</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H1, BK</w:t>
            </w:r>
          </w:p>
        </w:tc>
      </w:tr>
      <w:tr>
        <w:trPr>
          <w:trHeight w:val="414"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206" w:lineRule="exact" w:before="3"/>
              <w:ind w:left="88" w:right="163"/>
              <w:rPr>
                <w:sz w:val="18"/>
              </w:rPr>
            </w:pPr>
            <w:r>
              <w:rPr>
                <w:sz w:val="18"/>
              </w:rPr>
              <w:t>Z1/6 (172.B.9.15.70)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206" w:lineRule="exact"/>
              <w:ind w:left="88"/>
              <w:rPr>
                <w:sz w:val="18"/>
              </w:rPr>
            </w:pPr>
            <w:r>
              <w:rPr>
                <w:sz w:val="18"/>
              </w:rPr>
              <w:t>Horní Vítkov - individuální bydlení v okolí kostela</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206" w:lineRule="exact"/>
              <w:ind w:left="0" w:right="45"/>
              <w:jc w:val="right"/>
              <w:rPr>
                <w:sz w:val="18"/>
              </w:rPr>
            </w:pPr>
            <w:r>
              <w:rPr>
                <w:w w:val="95"/>
                <w:sz w:val="18"/>
              </w:rPr>
              <w:t>8193</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206" w:lineRule="exact"/>
              <w:ind w:left="32"/>
              <w:rPr>
                <w:sz w:val="18"/>
              </w:rPr>
            </w:pPr>
            <w:r>
              <w:rPr>
                <w:sz w:val="18"/>
              </w:rPr>
              <w:t>Ruší se</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173.B.9.15.70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Horní Vítkov - individuální bydlení v proluce u cesty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1308</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174.B.9.15.70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Horní Vítkov - individuální bydlení v proluce u cesty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2275</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H1</w:t>
            </w:r>
          </w:p>
        </w:tc>
      </w:tr>
      <w:tr>
        <w:trPr>
          <w:trHeight w:val="208"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175.I</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Horní Vítkov – vodojem Horní Vítkov I</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0" w:right="45"/>
              <w:jc w:val="right"/>
              <w:rPr>
                <w:sz w:val="18"/>
              </w:rPr>
            </w:pPr>
            <w:r>
              <w:rPr>
                <w:w w:val="95"/>
                <w:sz w:val="18"/>
              </w:rPr>
              <w:t>900</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176.I</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Horní Vítkov – vodojem Horní Vítkov II</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800</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177.B.9.10.80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Horní Vítkov - individuální bydlení na okraji zástavby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6774</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H1</w:t>
            </w:r>
          </w:p>
        </w:tc>
      </w:tr>
      <w:tr>
        <w:trPr>
          <w:trHeight w:val="208"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178.B.9.10.80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Horní Vítkov – individuální bydlení na okraji zástavby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0" w:right="45"/>
              <w:jc w:val="right"/>
              <w:rPr>
                <w:sz w:val="18"/>
              </w:rPr>
            </w:pPr>
            <w:r>
              <w:rPr>
                <w:w w:val="95"/>
                <w:sz w:val="18"/>
              </w:rPr>
              <w:t>2170</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32"/>
              <w:rPr>
                <w:sz w:val="18"/>
              </w:rPr>
            </w:pPr>
            <w:r>
              <w:rPr>
                <w:sz w:val="18"/>
              </w:rPr>
              <w:t>1St</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179.B.9.15.70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Horní Vítkov – individuální bydlení na okraji zástavby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2449</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2St</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180.B.9.15.70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Horní Vítkov – individuální bydlení v proluce u cesty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1573</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H1, 1St</w:t>
            </w:r>
          </w:p>
        </w:tc>
      </w:tr>
      <w:tr>
        <w:trPr>
          <w:trHeight w:val="208"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Z1/2.B.9.10.80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Horní Vítkov – individuální bydlení na okraji zástavby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7"/>
              <w:rPr>
                <w:sz w:val="18"/>
              </w:rPr>
            </w:pPr>
            <w:r>
              <w:rPr>
                <w:sz w:val="18"/>
              </w:rPr>
              <w:t>4443</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bl>
    <w:p>
      <w:pPr>
        <w:spacing w:after="0"/>
        <w:rPr>
          <w:rFonts w:ascii="Times New Roman"/>
          <w:sz w:val="14"/>
        </w:rPr>
        <w:sectPr>
          <w:pgSz w:w="11900" w:h="16840"/>
          <w:pgMar w:header="561" w:footer="582" w:top="760" w:bottom="780" w:left="960" w:right="980"/>
        </w:sectPr>
      </w:pPr>
    </w:p>
    <w:p>
      <w:pPr>
        <w:pStyle w:val="BodyText"/>
        <w:spacing w:before="5"/>
        <w:ind w:left="0" w:firstLine="0"/>
        <w:jc w:val="left"/>
        <w:rPr>
          <w:b/>
        </w:rPr>
      </w:pPr>
    </w:p>
    <w:p>
      <w:pPr>
        <w:tabs>
          <w:tab w:pos="1024" w:val="left" w:leader="none"/>
        </w:tabs>
        <w:spacing w:before="100" w:after="8"/>
        <w:ind w:left="172" w:right="0" w:firstLine="0"/>
        <w:jc w:val="left"/>
        <w:rPr>
          <w:b/>
          <w:sz w:val="18"/>
        </w:rPr>
      </w:pPr>
      <w:r>
        <w:rPr>
          <w:b/>
          <w:sz w:val="18"/>
        </w:rPr>
        <w:t>Tab.:</w:t>
        <w:tab/>
        <w:t>Návrh ploch</w:t>
      </w:r>
      <w:r>
        <w:rPr>
          <w:b/>
          <w:spacing w:val="-1"/>
          <w:sz w:val="18"/>
        </w:rPr>
        <w:t> </w:t>
      </w:r>
      <w:r>
        <w:rPr>
          <w:b/>
          <w:sz w:val="18"/>
        </w:rPr>
        <w:t>přestavby</w:t>
      </w: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17"/>
        <w:gridCol w:w="5571"/>
        <w:gridCol w:w="850"/>
        <w:gridCol w:w="1659"/>
      </w:tblGrid>
      <w:tr>
        <w:trPr>
          <w:trHeight w:val="412" w:hRule="atLeast"/>
        </w:trPr>
        <w:tc>
          <w:tcPr>
            <w:tcW w:w="1517" w:type="dxa"/>
            <w:shd w:val="clear" w:color="auto" w:fill="CCFFFF"/>
          </w:tcPr>
          <w:p>
            <w:pPr>
              <w:pStyle w:val="TableParagraph"/>
              <w:spacing w:line="201" w:lineRule="exact"/>
              <w:ind w:left="28"/>
              <w:rPr>
                <w:b/>
                <w:sz w:val="18"/>
              </w:rPr>
            </w:pPr>
            <w:r>
              <w:rPr>
                <w:b/>
                <w:sz w:val="18"/>
              </w:rPr>
              <w:t>plocha/</w:t>
            </w:r>
          </w:p>
          <w:p>
            <w:pPr>
              <w:pStyle w:val="TableParagraph"/>
              <w:spacing w:line="192" w:lineRule="exact"/>
              <w:ind w:left="28"/>
              <w:rPr>
                <w:b/>
                <w:sz w:val="18"/>
              </w:rPr>
            </w:pPr>
            <w:r>
              <w:rPr>
                <w:b/>
                <w:sz w:val="18"/>
              </w:rPr>
              <w:t>funkce/regulace</w:t>
            </w:r>
          </w:p>
        </w:tc>
        <w:tc>
          <w:tcPr>
            <w:tcW w:w="5571" w:type="dxa"/>
            <w:shd w:val="clear" w:color="auto" w:fill="CCFFFF"/>
          </w:tcPr>
          <w:p>
            <w:pPr>
              <w:pStyle w:val="TableParagraph"/>
              <w:spacing w:line="201" w:lineRule="exact"/>
              <w:ind w:left="28"/>
              <w:rPr>
                <w:b/>
                <w:sz w:val="18"/>
              </w:rPr>
            </w:pPr>
            <w:r>
              <w:rPr>
                <w:b/>
                <w:sz w:val="18"/>
              </w:rPr>
              <w:t>umístění / účel</w:t>
            </w:r>
          </w:p>
        </w:tc>
        <w:tc>
          <w:tcPr>
            <w:tcW w:w="850" w:type="dxa"/>
            <w:shd w:val="clear" w:color="auto" w:fill="CCFFFF"/>
          </w:tcPr>
          <w:p>
            <w:pPr>
              <w:pStyle w:val="TableParagraph"/>
              <w:spacing w:line="201" w:lineRule="exact"/>
              <w:ind w:left="27"/>
              <w:rPr>
                <w:b/>
                <w:sz w:val="18"/>
              </w:rPr>
            </w:pPr>
            <w:r>
              <w:rPr>
                <w:b/>
                <w:sz w:val="18"/>
              </w:rPr>
              <w:t>Výměra</w:t>
            </w:r>
          </w:p>
        </w:tc>
        <w:tc>
          <w:tcPr>
            <w:tcW w:w="1659" w:type="dxa"/>
            <w:shd w:val="clear" w:color="auto" w:fill="CCFFFF"/>
          </w:tcPr>
          <w:p>
            <w:pPr>
              <w:pStyle w:val="TableParagraph"/>
              <w:spacing w:line="201" w:lineRule="exact"/>
              <w:ind w:left="29"/>
              <w:rPr>
                <w:b/>
                <w:sz w:val="18"/>
              </w:rPr>
            </w:pPr>
            <w:r>
              <w:rPr>
                <w:b/>
                <w:sz w:val="18"/>
              </w:rPr>
              <w:t>podmínky</w:t>
            </w:r>
          </w:p>
        </w:tc>
      </w:tr>
      <w:tr>
        <w:trPr>
          <w:trHeight w:val="208" w:hRule="atLeast"/>
        </w:trPr>
        <w:tc>
          <w:tcPr>
            <w:tcW w:w="7938" w:type="dxa"/>
            <w:gridSpan w:val="3"/>
            <w:shd w:val="clear" w:color="auto" w:fill="DADADA"/>
          </w:tcPr>
          <w:p>
            <w:pPr>
              <w:pStyle w:val="TableParagraph"/>
              <w:spacing w:line="188" w:lineRule="exact"/>
              <w:ind w:left="28"/>
              <w:rPr>
                <w:b/>
                <w:sz w:val="18"/>
              </w:rPr>
            </w:pPr>
            <w:r>
              <w:rPr>
                <w:b/>
                <w:sz w:val="18"/>
              </w:rPr>
              <w:t>k.ú. Chrastava I</w:t>
            </w:r>
          </w:p>
        </w:tc>
        <w:tc>
          <w:tcPr>
            <w:tcW w:w="1659" w:type="dxa"/>
            <w:shd w:val="clear" w:color="auto" w:fill="DADADA"/>
          </w:tcPr>
          <w:p>
            <w:pPr>
              <w:pStyle w:val="TableParagraph"/>
              <w:ind w:left="0"/>
              <w:rPr>
                <w:rFonts w:ascii="Times New Roman"/>
                <w:sz w:val="14"/>
              </w:rPr>
            </w:pPr>
          </w:p>
        </w:tc>
      </w:tr>
      <w:tr>
        <w:trPr>
          <w:trHeight w:val="206" w:hRule="atLeast"/>
        </w:trPr>
        <w:tc>
          <w:tcPr>
            <w:tcW w:w="1517" w:type="dxa"/>
            <w:tcBorders>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2.M</w:t>
            </w:r>
          </w:p>
        </w:tc>
        <w:tc>
          <w:tcPr>
            <w:tcW w:w="5571" w:type="dxa"/>
            <w:tcBorders>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Liberecká – Frýdlantská - východní obchvat centra silnicí III/27250</w:t>
            </w:r>
          </w:p>
        </w:tc>
        <w:tc>
          <w:tcPr>
            <w:tcW w:w="850" w:type="dxa"/>
            <w:tcBorders>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4397</w:t>
            </w:r>
          </w:p>
        </w:tc>
        <w:tc>
          <w:tcPr>
            <w:tcW w:w="1659" w:type="dxa"/>
            <w:tcBorders>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MPZ</w:t>
            </w:r>
          </w:p>
        </w:tc>
      </w:tr>
      <w:tr>
        <w:trPr>
          <w:trHeight w:val="208"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3.P</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Loudátova - úprava jižního segmentu okruhu kolem centra</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0" w:right="45"/>
              <w:jc w:val="right"/>
              <w:rPr>
                <w:sz w:val="18"/>
              </w:rPr>
            </w:pPr>
            <w:r>
              <w:rPr>
                <w:w w:val="95"/>
                <w:sz w:val="18"/>
              </w:rPr>
              <w:t>787</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32"/>
              <w:rPr>
                <w:sz w:val="18"/>
              </w:rPr>
            </w:pPr>
            <w:r>
              <w:rPr>
                <w:sz w:val="18"/>
              </w:rPr>
              <w:t>MPZ</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4.P</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Za restaurací Koruna – pěší spojka</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120</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5.C.15.30.40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Liberecká – dotvoření prostoru podél okruhu v městském centru</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2035</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MPZ, H2, OK</w:t>
            </w:r>
          </w:p>
        </w:tc>
      </w:tr>
      <w:tr>
        <w:trPr>
          <w:trHeight w:val="208"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6.G.0.0.20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Pobřežní – záchytné parkoviště pro městské centrum na II/592</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0" w:right="45"/>
              <w:jc w:val="right"/>
              <w:rPr>
                <w:sz w:val="18"/>
              </w:rPr>
            </w:pPr>
            <w:r>
              <w:rPr>
                <w:w w:val="95"/>
                <w:sz w:val="18"/>
              </w:rPr>
              <w:t>1665</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32"/>
              <w:rPr>
                <w:sz w:val="18"/>
              </w:rPr>
            </w:pPr>
            <w:r>
              <w:rPr>
                <w:sz w:val="18"/>
              </w:rPr>
              <w:t>MPZ, BK</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7.C.15.30.40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Pobřežní – rozvoj městského centra ke kostelnímu pahorku</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1622</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MPZ, H1</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8.C.15.30.40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Pobřežní – rozvoj městského centra ke kostelnímu pahorku</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1043</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MPZ, H1</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19.B.12.20.60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Cihlářská – přestavba zahrádek na individuální bydlení</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1607</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8"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7" w:lineRule="exact" w:before="1"/>
              <w:ind w:left="88"/>
              <w:rPr>
                <w:sz w:val="18"/>
              </w:rPr>
            </w:pPr>
            <w:r>
              <w:rPr>
                <w:sz w:val="18"/>
              </w:rPr>
              <w:t>43.B.9.15.70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7" w:lineRule="exact" w:before="1"/>
              <w:ind w:left="88"/>
              <w:rPr>
                <w:sz w:val="18"/>
              </w:rPr>
            </w:pPr>
            <w:r>
              <w:rPr>
                <w:sz w:val="18"/>
              </w:rPr>
              <w:t>Sportovní – přestavba zahrádek na bydlení na okraji zástavby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7" w:lineRule="exact" w:before="1"/>
              <w:ind w:left="0" w:right="45"/>
              <w:jc w:val="right"/>
              <w:rPr>
                <w:sz w:val="18"/>
              </w:rPr>
            </w:pPr>
            <w:r>
              <w:rPr>
                <w:w w:val="95"/>
                <w:sz w:val="18"/>
              </w:rPr>
              <w:t>403</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54.B.12.20.60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Hřbitovní – přestavba zahrádek na soustředěné bydlení</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14188</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1St</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55.B.9.15.70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Sportovní – přestavba zahrádek na bydlení na okraji zástavby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4794</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8" w:hRule="atLeast"/>
        </w:trPr>
        <w:tc>
          <w:tcPr>
            <w:tcW w:w="1517" w:type="dxa"/>
            <w:tcBorders>
              <w:top w:val="single" w:sz="2" w:space="0" w:color="000000"/>
              <w:left w:val="single" w:sz="2" w:space="0" w:color="000000"/>
              <w:right w:val="single" w:sz="2" w:space="0" w:color="000000"/>
            </w:tcBorders>
          </w:tcPr>
          <w:p>
            <w:pPr>
              <w:pStyle w:val="TableParagraph"/>
              <w:spacing w:line="187" w:lineRule="exact" w:before="1"/>
              <w:ind w:left="88"/>
              <w:rPr>
                <w:sz w:val="18"/>
              </w:rPr>
            </w:pPr>
            <w:r>
              <w:rPr>
                <w:w w:val="95"/>
                <w:sz w:val="18"/>
              </w:rPr>
              <w:t>Z3/1.OK.12.60.10</w:t>
            </w:r>
          </w:p>
        </w:tc>
        <w:tc>
          <w:tcPr>
            <w:tcW w:w="5571" w:type="dxa"/>
            <w:tcBorders>
              <w:top w:val="single" w:sz="2" w:space="0" w:color="000000"/>
              <w:left w:val="single" w:sz="2" w:space="0" w:color="000000"/>
              <w:right w:val="single" w:sz="2" w:space="0" w:color="000000"/>
            </w:tcBorders>
          </w:tcPr>
          <w:p>
            <w:pPr>
              <w:pStyle w:val="TableParagraph"/>
              <w:spacing w:line="187" w:lineRule="exact" w:before="1"/>
              <w:ind w:left="88"/>
              <w:rPr>
                <w:sz w:val="18"/>
              </w:rPr>
            </w:pPr>
            <w:r>
              <w:rPr>
                <w:sz w:val="18"/>
              </w:rPr>
              <w:t>Nádražní – prodejna včetně souvisejících parkovacích ploch</w:t>
            </w:r>
          </w:p>
        </w:tc>
        <w:tc>
          <w:tcPr>
            <w:tcW w:w="850" w:type="dxa"/>
            <w:tcBorders>
              <w:top w:val="single" w:sz="2" w:space="0" w:color="000000"/>
              <w:left w:val="single" w:sz="2" w:space="0" w:color="000000"/>
              <w:right w:val="single" w:sz="2" w:space="0" w:color="000000"/>
            </w:tcBorders>
          </w:tcPr>
          <w:p>
            <w:pPr>
              <w:pStyle w:val="TableParagraph"/>
              <w:spacing w:line="187" w:lineRule="exact" w:before="1"/>
              <w:ind w:left="0" w:right="45"/>
              <w:jc w:val="right"/>
              <w:rPr>
                <w:sz w:val="18"/>
              </w:rPr>
            </w:pPr>
            <w:r>
              <w:rPr>
                <w:w w:val="95"/>
                <w:sz w:val="18"/>
              </w:rPr>
              <w:t>8031</w:t>
            </w:r>
          </w:p>
        </w:tc>
        <w:tc>
          <w:tcPr>
            <w:tcW w:w="1659" w:type="dxa"/>
            <w:tcBorders>
              <w:top w:val="single" w:sz="2" w:space="0" w:color="000000"/>
              <w:left w:val="single" w:sz="2" w:space="0" w:color="000000"/>
              <w:right w:val="single" w:sz="2" w:space="0" w:color="000000"/>
            </w:tcBorders>
          </w:tcPr>
          <w:p>
            <w:pPr>
              <w:pStyle w:val="TableParagraph"/>
              <w:spacing w:line="187" w:lineRule="exact" w:before="1"/>
              <w:ind w:left="32"/>
              <w:rPr>
                <w:sz w:val="18"/>
              </w:rPr>
            </w:pPr>
            <w:r>
              <w:rPr>
                <w:sz w:val="18"/>
              </w:rPr>
              <w:t>H1, MPZ, OK</w:t>
            </w:r>
          </w:p>
        </w:tc>
      </w:tr>
      <w:tr>
        <w:trPr>
          <w:trHeight w:val="205" w:hRule="atLeast"/>
        </w:trPr>
        <w:tc>
          <w:tcPr>
            <w:tcW w:w="7938" w:type="dxa"/>
            <w:gridSpan w:val="3"/>
            <w:shd w:val="clear" w:color="auto" w:fill="DADADA"/>
          </w:tcPr>
          <w:p>
            <w:pPr>
              <w:pStyle w:val="TableParagraph"/>
              <w:spacing w:line="186" w:lineRule="exact"/>
              <w:ind w:left="28"/>
              <w:rPr>
                <w:b/>
                <w:sz w:val="18"/>
              </w:rPr>
            </w:pPr>
            <w:r>
              <w:rPr>
                <w:b/>
                <w:sz w:val="18"/>
              </w:rPr>
              <w:t>k.ú. Dolní Chrastava</w:t>
            </w:r>
          </w:p>
        </w:tc>
        <w:tc>
          <w:tcPr>
            <w:tcW w:w="1659" w:type="dxa"/>
            <w:shd w:val="clear" w:color="auto" w:fill="DADADA"/>
          </w:tcPr>
          <w:p>
            <w:pPr>
              <w:pStyle w:val="TableParagraph"/>
              <w:ind w:left="0"/>
              <w:rPr>
                <w:rFonts w:ascii="Times New Roman"/>
                <w:sz w:val="14"/>
              </w:rPr>
            </w:pPr>
          </w:p>
        </w:tc>
      </w:tr>
      <w:tr>
        <w:trPr>
          <w:trHeight w:val="208" w:hRule="atLeast"/>
        </w:trPr>
        <w:tc>
          <w:tcPr>
            <w:tcW w:w="1517" w:type="dxa"/>
            <w:tcBorders>
              <w:left w:val="single" w:sz="2" w:space="0" w:color="000000"/>
              <w:bottom w:val="single" w:sz="2" w:space="0" w:color="000000"/>
              <w:right w:val="single" w:sz="2" w:space="0" w:color="000000"/>
            </w:tcBorders>
          </w:tcPr>
          <w:p>
            <w:pPr>
              <w:pStyle w:val="TableParagraph"/>
              <w:spacing w:line="188" w:lineRule="exact"/>
              <w:ind w:left="88"/>
              <w:rPr>
                <w:sz w:val="18"/>
              </w:rPr>
            </w:pPr>
            <w:r>
              <w:rPr>
                <w:sz w:val="18"/>
              </w:rPr>
              <w:t>78.C.15.30.40</w:t>
            </w:r>
          </w:p>
        </w:tc>
        <w:tc>
          <w:tcPr>
            <w:tcW w:w="5571" w:type="dxa"/>
            <w:tcBorders>
              <w:left w:val="single" w:sz="2" w:space="0" w:color="000000"/>
              <w:bottom w:val="single" w:sz="2" w:space="0" w:color="000000"/>
              <w:right w:val="single" w:sz="2" w:space="0" w:color="000000"/>
            </w:tcBorders>
          </w:tcPr>
          <w:p>
            <w:pPr>
              <w:pStyle w:val="TableParagraph"/>
              <w:spacing w:line="188" w:lineRule="exact"/>
              <w:ind w:left="88"/>
              <w:rPr>
                <w:sz w:val="18"/>
              </w:rPr>
            </w:pPr>
            <w:r>
              <w:rPr>
                <w:sz w:val="18"/>
              </w:rPr>
              <w:t>Nádražní – přestavba městského centra na křížení s I/35</w:t>
            </w:r>
          </w:p>
        </w:tc>
        <w:tc>
          <w:tcPr>
            <w:tcW w:w="850" w:type="dxa"/>
            <w:tcBorders>
              <w:left w:val="single" w:sz="2" w:space="0" w:color="000000"/>
              <w:bottom w:val="single" w:sz="2" w:space="0" w:color="000000"/>
              <w:right w:val="single" w:sz="2" w:space="0" w:color="000000"/>
            </w:tcBorders>
          </w:tcPr>
          <w:p>
            <w:pPr>
              <w:pStyle w:val="TableParagraph"/>
              <w:spacing w:line="188" w:lineRule="exact"/>
              <w:ind w:left="0" w:right="45"/>
              <w:jc w:val="right"/>
              <w:rPr>
                <w:sz w:val="18"/>
              </w:rPr>
            </w:pPr>
            <w:r>
              <w:rPr>
                <w:w w:val="95"/>
                <w:sz w:val="18"/>
              </w:rPr>
              <w:t>3359</w:t>
            </w:r>
          </w:p>
        </w:tc>
        <w:tc>
          <w:tcPr>
            <w:tcW w:w="1659" w:type="dxa"/>
            <w:tcBorders>
              <w:left w:val="single" w:sz="2" w:space="0" w:color="000000"/>
              <w:bottom w:val="single" w:sz="2" w:space="0" w:color="000000"/>
              <w:right w:val="single" w:sz="2" w:space="0" w:color="000000"/>
            </w:tcBorders>
          </w:tcPr>
          <w:p>
            <w:pPr>
              <w:pStyle w:val="TableParagraph"/>
              <w:spacing w:line="188" w:lineRule="exact"/>
              <w:ind w:left="32"/>
              <w:rPr>
                <w:sz w:val="18"/>
              </w:rPr>
            </w:pPr>
            <w:r>
              <w:rPr>
                <w:sz w:val="18"/>
              </w:rPr>
              <w:t>H1</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79.C.12.25.50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Pobřežní – rozvoj městského centra v okolí bývalého statku</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11478</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H1</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80.A.12.25.50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Pobřežní – smíšené aktivity pod silnici I/35</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32553</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H1, BK</w:t>
            </w:r>
          </w:p>
        </w:tc>
      </w:tr>
      <w:tr>
        <w:trPr>
          <w:trHeight w:val="208"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81.A.12.25.50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Pobřežní – smíšené aktivity pod silnici I/35</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0" w:right="45"/>
              <w:jc w:val="right"/>
              <w:rPr>
                <w:sz w:val="18"/>
              </w:rPr>
            </w:pPr>
            <w:r>
              <w:rPr>
                <w:w w:val="95"/>
                <w:sz w:val="18"/>
              </w:rPr>
              <w:t>847</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82.A.15.30.30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Nákladní – Andělohorská – přestavba výrob. areálu před nádražím</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12629</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H1, OK</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83.A.15.30.30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Nákladní – rozvoj areálu ke křížení se silnicí I/35</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1455</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H1</w:t>
            </w:r>
          </w:p>
        </w:tc>
      </w:tr>
      <w:tr>
        <w:trPr>
          <w:trHeight w:val="208"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90.B.12.15.70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nad Bílokosteleckou – individuální bydlení v proluce zástavby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0" w:right="45"/>
              <w:jc w:val="right"/>
              <w:rPr>
                <w:sz w:val="18"/>
              </w:rPr>
            </w:pPr>
            <w:r>
              <w:rPr>
                <w:w w:val="95"/>
                <w:sz w:val="18"/>
              </w:rPr>
              <w:t>973</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6" w:hRule="atLeast"/>
        </w:trPr>
        <w:tc>
          <w:tcPr>
            <w:tcW w:w="1517" w:type="dxa"/>
            <w:tcBorders>
              <w:top w:val="single" w:sz="2" w:space="0" w:color="000000"/>
              <w:left w:val="single" w:sz="2" w:space="0" w:color="000000"/>
              <w:right w:val="single" w:sz="2" w:space="0" w:color="000000"/>
            </w:tcBorders>
          </w:tcPr>
          <w:p>
            <w:pPr>
              <w:pStyle w:val="TableParagraph"/>
              <w:spacing w:line="186" w:lineRule="exact"/>
              <w:ind w:left="88"/>
              <w:rPr>
                <w:sz w:val="18"/>
              </w:rPr>
            </w:pPr>
            <w:r>
              <w:rPr>
                <w:sz w:val="18"/>
              </w:rPr>
              <w:t>91.B.12.20.60</w:t>
            </w:r>
          </w:p>
        </w:tc>
        <w:tc>
          <w:tcPr>
            <w:tcW w:w="5571" w:type="dxa"/>
            <w:tcBorders>
              <w:top w:val="single" w:sz="2" w:space="0" w:color="000000"/>
              <w:left w:val="single" w:sz="2" w:space="0" w:color="000000"/>
              <w:right w:val="single" w:sz="2" w:space="0" w:color="000000"/>
            </w:tcBorders>
          </w:tcPr>
          <w:p>
            <w:pPr>
              <w:pStyle w:val="TableParagraph"/>
              <w:spacing w:line="186" w:lineRule="exact"/>
              <w:ind w:left="88"/>
              <w:rPr>
                <w:sz w:val="18"/>
              </w:rPr>
            </w:pPr>
            <w:r>
              <w:rPr>
                <w:sz w:val="18"/>
              </w:rPr>
              <w:t>Pobřežní – přestavba zahrádek na individuální bydlení</w:t>
            </w:r>
          </w:p>
        </w:tc>
        <w:tc>
          <w:tcPr>
            <w:tcW w:w="850" w:type="dxa"/>
            <w:tcBorders>
              <w:top w:val="single" w:sz="2" w:space="0" w:color="000000"/>
              <w:left w:val="single" w:sz="2" w:space="0" w:color="000000"/>
              <w:right w:val="single" w:sz="2" w:space="0" w:color="000000"/>
            </w:tcBorders>
          </w:tcPr>
          <w:p>
            <w:pPr>
              <w:pStyle w:val="TableParagraph"/>
              <w:spacing w:line="186" w:lineRule="exact"/>
              <w:ind w:left="0" w:right="45"/>
              <w:jc w:val="right"/>
              <w:rPr>
                <w:sz w:val="18"/>
              </w:rPr>
            </w:pPr>
            <w:r>
              <w:rPr>
                <w:w w:val="95"/>
                <w:sz w:val="18"/>
              </w:rPr>
              <w:t>2036</w:t>
            </w:r>
          </w:p>
        </w:tc>
        <w:tc>
          <w:tcPr>
            <w:tcW w:w="1659" w:type="dxa"/>
            <w:tcBorders>
              <w:top w:val="single" w:sz="2" w:space="0" w:color="000000"/>
              <w:left w:val="single" w:sz="2" w:space="0" w:color="000000"/>
              <w:right w:val="single" w:sz="2" w:space="0" w:color="000000"/>
            </w:tcBorders>
          </w:tcPr>
          <w:p>
            <w:pPr>
              <w:pStyle w:val="TableParagraph"/>
              <w:ind w:left="0"/>
              <w:rPr>
                <w:rFonts w:ascii="Times New Roman"/>
                <w:sz w:val="14"/>
              </w:rPr>
            </w:pPr>
          </w:p>
        </w:tc>
      </w:tr>
      <w:tr>
        <w:trPr>
          <w:trHeight w:val="205" w:hRule="atLeast"/>
        </w:trPr>
        <w:tc>
          <w:tcPr>
            <w:tcW w:w="7938" w:type="dxa"/>
            <w:gridSpan w:val="3"/>
            <w:shd w:val="clear" w:color="auto" w:fill="DADADA"/>
          </w:tcPr>
          <w:p>
            <w:pPr>
              <w:pStyle w:val="TableParagraph"/>
              <w:spacing w:line="186" w:lineRule="exact"/>
              <w:ind w:left="28"/>
              <w:rPr>
                <w:b/>
                <w:sz w:val="18"/>
              </w:rPr>
            </w:pPr>
            <w:r>
              <w:rPr>
                <w:b/>
                <w:sz w:val="18"/>
              </w:rPr>
              <w:t>k.ú. Horní Chrastava</w:t>
            </w:r>
          </w:p>
        </w:tc>
        <w:tc>
          <w:tcPr>
            <w:tcW w:w="1659" w:type="dxa"/>
            <w:shd w:val="clear" w:color="auto" w:fill="DADADA"/>
          </w:tcPr>
          <w:p>
            <w:pPr>
              <w:pStyle w:val="TableParagraph"/>
              <w:ind w:left="0"/>
              <w:rPr>
                <w:rFonts w:ascii="Times New Roman"/>
                <w:sz w:val="14"/>
              </w:rPr>
            </w:pPr>
          </w:p>
        </w:tc>
      </w:tr>
      <w:tr>
        <w:trPr>
          <w:trHeight w:val="208" w:hRule="atLeast"/>
        </w:trPr>
        <w:tc>
          <w:tcPr>
            <w:tcW w:w="1517" w:type="dxa"/>
            <w:tcBorders>
              <w:left w:val="single" w:sz="2" w:space="0" w:color="000000"/>
              <w:bottom w:val="single" w:sz="2" w:space="0" w:color="000000"/>
              <w:right w:val="single" w:sz="2" w:space="0" w:color="000000"/>
            </w:tcBorders>
          </w:tcPr>
          <w:p>
            <w:pPr>
              <w:pStyle w:val="TableParagraph"/>
              <w:spacing w:line="188" w:lineRule="exact"/>
              <w:ind w:left="88"/>
              <w:rPr>
                <w:sz w:val="18"/>
              </w:rPr>
            </w:pPr>
            <w:r>
              <w:rPr>
                <w:sz w:val="18"/>
              </w:rPr>
              <w:t>104.B.9.15.70</w:t>
            </w:r>
          </w:p>
        </w:tc>
        <w:tc>
          <w:tcPr>
            <w:tcW w:w="5571" w:type="dxa"/>
            <w:tcBorders>
              <w:left w:val="single" w:sz="2" w:space="0" w:color="000000"/>
              <w:bottom w:val="single" w:sz="2" w:space="0" w:color="000000"/>
              <w:right w:val="single" w:sz="2" w:space="0" w:color="000000"/>
            </w:tcBorders>
          </w:tcPr>
          <w:p>
            <w:pPr>
              <w:pStyle w:val="TableParagraph"/>
              <w:spacing w:line="188" w:lineRule="exact"/>
              <w:ind w:left="88"/>
              <w:rPr>
                <w:sz w:val="18"/>
              </w:rPr>
            </w:pPr>
            <w:r>
              <w:rPr>
                <w:sz w:val="18"/>
              </w:rPr>
              <w:t>Novoveská – přestavba zahrádek na individuální bydlení</w:t>
            </w:r>
          </w:p>
        </w:tc>
        <w:tc>
          <w:tcPr>
            <w:tcW w:w="850" w:type="dxa"/>
            <w:tcBorders>
              <w:left w:val="single" w:sz="2" w:space="0" w:color="000000"/>
              <w:bottom w:val="single" w:sz="2" w:space="0" w:color="000000"/>
              <w:right w:val="single" w:sz="2" w:space="0" w:color="000000"/>
            </w:tcBorders>
          </w:tcPr>
          <w:p>
            <w:pPr>
              <w:pStyle w:val="TableParagraph"/>
              <w:spacing w:line="188" w:lineRule="exact"/>
              <w:ind w:left="0" w:right="45"/>
              <w:jc w:val="right"/>
              <w:rPr>
                <w:sz w:val="18"/>
              </w:rPr>
            </w:pPr>
            <w:r>
              <w:rPr>
                <w:w w:val="95"/>
                <w:sz w:val="18"/>
              </w:rPr>
              <w:t>1500</w:t>
            </w:r>
          </w:p>
        </w:tc>
        <w:tc>
          <w:tcPr>
            <w:tcW w:w="1659" w:type="dxa"/>
            <w:tcBorders>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105.B.9.15.70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Novoveská – přestavba zahrádek na individuální bydlení</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943</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106.B.12.15.70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Novoveská – přestavba zahrádek na individuální bydlení</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783</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8"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108.B.12.15.70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Novoveská – přestavba zahrádek na individuální bydlení</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0" w:right="45"/>
              <w:jc w:val="right"/>
              <w:rPr>
                <w:sz w:val="18"/>
              </w:rPr>
            </w:pPr>
            <w:r>
              <w:rPr>
                <w:w w:val="95"/>
                <w:sz w:val="18"/>
              </w:rPr>
              <w:t>6135</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6" w:hRule="atLeast"/>
        </w:trPr>
        <w:tc>
          <w:tcPr>
            <w:tcW w:w="1517" w:type="dxa"/>
            <w:tcBorders>
              <w:top w:val="single" w:sz="2" w:space="0" w:color="000000"/>
              <w:left w:val="single" w:sz="2" w:space="0" w:color="000000"/>
              <w:right w:val="single" w:sz="2" w:space="0" w:color="000000"/>
            </w:tcBorders>
          </w:tcPr>
          <w:p>
            <w:pPr>
              <w:pStyle w:val="TableParagraph"/>
              <w:spacing w:line="186" w:lineRule="exact"/>
              <w:ind w:left="88"/>
              <w:rPr>
                <w:sz w:val="18"/>
              </w:rPr>
            </w:pPr>
            <w:r>
              <w:rPr>
                <w:sz w:val="18"/>
              </w:rPr>
              <w:t>109.B.12.15.70</w:t>
            </w:r>
          </w:p>
        </w:tc>
        <w:tc>
          <w:tcPr>
            <w:tcW w:w="5571" w:type="dxa"/>
            <w:tcBorders>
              <w:top w:val="single" w:sz="2" w:space="0" w:color="000000"/>
              <w:left w:val="single" w:sz="2" w:space="0" w:color="000000"/>
              <w:right w:val="single" w:sz="2" w:space="0" w:color="000000"/>
            </w:tcBorders>
          </w:tcPr>
          <w:p>
            <w:pPr>
              <w:pStyle w:val="TableParagraph"/>
              <w:spacing w:line="186" w:lineRule="exact"/>
              <w:ind w:left="88"/>
              <w:rPr>
                <w:sz w:val="18"/>
              </w:rPr>
            </w:pPr>
            <w:r>
              <w:rPr>
                <w:sz w:val="18"/>
              </w:rPr>
              <w:t>Novoveská – přestavba zahrádek na individuální bydlení</w:t>
            </w:r>
          </w:p>
        </w:tc>
        <w:tc>
          <w:tcPr>
            <w:tcW w:w="850" w:type="dxa"/>
            <w:tcBorders>
              <w:top w:val="single" w:sz="2" w:space="0" w:color="000000"/>
              <w:left w:val="single" w:sz="2" w:space="0" w:color="000000"/>
              <w:right w:val="single" w:sz="2" w:space="0" w:color="000000"/>
            </w:tcBorders>
          </w:tcPr>
          <w:p>
            <w:pPr>
              <w:pStyle w:val="TableParagraph"/>
              <w:spacing w:line="186" w:lineRule="exact"/>
              <w:ind w:left="0" w:right="45"/>
              <w:jc w:val="right"/>
              <w:rPr>
                <w:sz w:val="18"/>
              </w:rPr>
            </w:pPr>
            <w:r>
              <w:rPr>
                <w:w w:val="95"/>
                <w:sz w:val="18"/>
              </w:rPr>
              <w:t>7657</w:t>
            </w:r>
          </w:p>
        </w:tc>
        <w:tc>
          <w:tcPr>
            <w:tcW w:w="1659" w:type="dxa"/>
            <w:tcBorders>
              <w:top w:val="single" w:sz="2" w:space="0" w:color="000000"/>
              <w:left w:val="single" w:sz="2" w:space="0" w:color="000000"/>
              <w:right w:val="single" w:sz="2" w:space="0" w:color="000000"/>
            </w:tcBorders>
          </w:tcPr>
          <w:p>
            <w:pPr>
              <w:pStyle w:val="TableParagraph"/>
              <w:ind w:left="0"/>
              <w:rPr>
                <w:rFonts w:ascii="Times New Roman"/>
                <w:sz w:val="14"/>
              </w:rPr>
            </w:pPr>
          </w:p>
        </w:tc>
      </w:tr>
      <w:tr>
        <w:trPr>
          <w:trHeight w:val="205" w:hRule="atLeast"/>
        </w:trPr>
        <w:tc>
          <w:tcPr>
            <w:tcW w:w="7938" w:type="dxa"/>
            <w:gridSpan w:val="3"/>
            <w:shd w:val="clear" w:color="auto" w:fill="DADADA"/>
          </w:tcPr>
          <w:p>
            <w:pPr>
              <w:pStyle w:val="TableParagraph"/>
              <w:spacing w:line="186" w:lineRule="exact"/>
              <w:ind w:left="28"/>
              <w:rPr>
                <w:b/>
                <w:sz w:val="18"/>
              </w:rPr>
            </w:pPr>
            <w:r>
              <w:rPr>
                <w:b/>
                <w:sz w:val="18"/>
              </w:rPr>
              <w:t>k.ú. Andělská Hora</w:t>
            </w:r>
          </w:p>
        </w:tc>
        <w:tc>
          <w:tcPr>
            <w:tcW w:w="1659" w:type="dxa"/>
            <w:shd w:val="clear" w:color="auto" w:fill="DADADA"/>
          </w:tcPr>
          <w:p>
            <w:pPr>
              <w:pStyle w:val="TableParagraph"/>
              <w:ind w:left="0"/>
              <w:rPr>
                <w:rFonts w:ascii="Times New Roman"/>
                <w:sz w:val="14"/>
              </w:rPr>
            </w:pPr>
          </w:p>
        </w:tc>
      </w:tr>
      <w:tr>
        <w:trPr>
          <w:trHeight w:val="208" w:hRule="atLeast"/>
        </w:trPr>
        <w:tc>
          <w:tcPr>
            <w:tcW w:w="1517" w:type="dxa"/>
            <w:tcBorders>
              <w:left w:val="single" w:sz="2" w:space="0" w:color="000000"/>
              <w:right w:val="single" w:sz="2" w:space="0" w:color="000000"/>
            </w:tcBorders>
          </w:tcPr>
          <w:p>
            <w:pPr>
              <w:pStyle w:val="TableParagraph"/>
              <w:spacing w:line="187" w:lineRule="exact" w:before="1"/>
              <w:ind w:left="88"/>
              <w:rPr>
                <w:sz w:val="18"/>
              </w:rPr>
            </w:pPr>
            <w:r>
              <w:rPr>
                <w:sz w:val="18"/>
              </w:rPr>
              <w:t>140.B.12.15.70</w:t>
            </w:r>
          </w:p>
        </w:tc>
        <w:tc>
          <w:tcPr>
            <w:tcW w:w="5571" w:type="dxa"/>
            <w:tcBorders>
              <w:left w:val="single" w:sz="2" w:space="0" w:color="000000"/>
              <w:right w:val="single" w:sz="2" w:space="0" w:color="000000"/>
            </w:tcBorders>
          </w:tcPr>
          <w:p>
            <w:pPr>
              <w:pStyle w:val="TableParagraph"/>
              <w:spacing w:line="187" w:lineRule="exact" w:before="1"/>
              <w:ind w:left="88"/>
              <w:rPr>
                <w:sz w:val="18"/>
              </w:rPr>
            </w:pPr>
            <w:r>
              <w:rPr>
                <w:sz w:val="18"/>
              </w:rPr>
              <w:t>Andělohorská – přestavba zahrádek na bydlení v proluce zástavby</w:t>
            </w:r>
          </w:p>
        </w:tc>
        <w:tc>
          <w:tcPr>
            <w:tcW w:w="850" w:type="dxa"/>
            <w:tcBorders>
              <w:left w:val="single" w:sz="2" w:space="0" w:color="000000"/>
              <w:right w:val="single" w:sz="2" w:space="0" w:color="000000"/>
            </w:tcBorders>
          </w:tcPr>
          <w:p>
            <w:pPr>
              <w:pStyle w:val="TableParagraph"/>
              <w:spacing w:line="187" w:lineRule="exact" w:before="1"/>
              <w:ind w:left="0" w:right="45"/>
              <w:jc w:val="right"/>
              <w:rPr>
                <w:sz w:val="18"/>
              </w:rPr>
            </w:pPr>
            <w:r>
              <w:rPr>
                <w:w w:val="95"/>
                <w:sz w:val="18"/>
              </w:rPr>
              <w:t>7143</w:t>
            </w:r>
          </w:p>
        </w:tc>
        <w:tc>
          <w:tcPr>
            <w:tcW w:w="1659" w:type="dxa"/>
            <w:tcBorders>
              <w:left w:val="single" w:sz="2" w:space="0" w:color="000000"/>
              <w:right w:val="single" w:sz="2" w:space="0" w:color="000000"/>
            </w:tcBorders>
          </w:tcPr>
          <w:p>
            <w:pPr>
              <w:pStyle w:val="TableParagraph"/>
              <w:ind w:left="0"/>
              <w:rPr>
                <w:rFonts w:ascii="Times New Roman"/>
                <w:sz w:val="14"/>
              </w:rPr>
            </w:pPr>
          </w:p>
        </w:tc>
      </w:tr>
      <w:tr>
        <w:trPr>
          <w:trHeight w:val="205" w:hRule="atLeast"/>
        </w:trPr>
        <w:tc>
          <w:tcPr>
            <w:tcW w:w="7938" w:type="dxa"/>
            <w:gridSpan w:val="3"/>
            <w:shd w:val="clear" w:color="auto" w:fill="DADADA"/>
          </w:tcPr>
          <w:p>
            <w:pPr>
              <w:pStyle w:val="TableParagraph"/>
              <w:spacing w:line="186" w:lineRule="exact"/>
              <w:ind w:left="28"/>
              <w:rPr>
                <w:b/>
                <w:sz w:val="18"/>
              </w:rPr>
            </w:pPr>
            <w:r>
              <w:rPr>
                <w:b/>
                <w:sz w:val="18"/>
              </w:rPr>
              <w:t>k.ú. Dolní Vítkov</w:t>
            </w:r>
          </w:p>
        </w:tc>
        <w:tc>
          <w:tcPr>
            <w:tcW w:w="1659" w:type="dxa"/>
            <w:shd w:val="clear" w:color="auto" w:fill="DADADA"/>
          </w:tcPr>
          <w:p>
            <w:pPr>
              <w:pStyle w:val="TableParagraph"/>
              <w:ind w:left="0"/>
              <w:rPr>
                <w:rFonts w:ascii="Times New Roman"/>
                <w:sz w:val="14"/>
              </w:rPr>
            </w:pPr>
          </w:p>
        </w:tc>
      </w:tr>
      <w:tr>
        <w:trPr>
          <w:trHeight w:val="208" w:hRule="atLeast"/>
        </w:trPr>
        <w:tc>
          <w:tcPr>
            <w:tcW w:w="1517" w:type="dxa"/>
            <w:tcBorders>
              <w:left w:val="single" w:sz="2" w:space="0" w:color="000000"/>
              <w:bottom w:val="single" w:sz="2" w:space="0" w:color="000000"/>
              <w:right w:val="single" w:sz="2" w:space="0" w:color="000000"/>
            </w:tcBorders>
          </w:tcPr>
          <w:p>
            <w:pPr>
              <w:pStyle w:val="TableParagraph"/>
              <w:spacing w:line="188" w:lineRule="exact"/>
              <w:ind w:left="88"/>
              <w:rPr>
                <w:sz w:val="18"/>
              </w:rPr>
            </w:pPr>
            <w:r>
              <w:rPr>
                <w:sz w:val="18"/>
              </w:rPr>
              <w:t>156.A.12.20.60</w:t>
            </w:r>
          </w:p>
        </w:tc>
        <w:tc>
          <w:tcPr>
            <w:tcW w:w="5571" w:type="dxa"/>
            <w:tcBorders>
              <w:left w:val="single" w:sz="2" w:space="0" w:color="000000"/>
              <w:bottom w:val="single" w:sz="2" w:space="0" w:color="000000"/>
              <w:right w:val="single" w:sz="2" w:space="0" w:color="000000"/>
            </w:tcBorders>
          </w:tcPr>
          <w:p>
            <w:pPr>
              <w:pStyle w:val="TableParagraph"/>
              <w:spacing w:line="188" w:lineRule="exact"/>
              <w:ind w:left="88"/>
              <w:rPr>
                <w:sz w:val="18"/>
              </w:rPr>
            </w:pPr>
            <w:r>
              <w:rPr>
                <w:sz w:val="18"/>
              </w:rPr>
              <w:t>Dolní Vítkov – smíšené aktivity v centru sídla</w:t>
            </w:r>
          </w:p>
        </w:tc>
        <w:tc>
          <w:tcPr>
            <w:tcW w:w="850" w:type="dxa"/>
            <w:tcBorders>
              <w:left w:val="single" w:sz="2" w:space="0" w:color="000000"/>
              <w:bottom w:val="single" w:sz="2" w:space="0" w:color="000000"/>
              <w:right w:val="single" w:sz="2" w:space="0" w:color="000000"/>
            </w:tcBorders>
          </w:tcPr>
          <w:p>
            <w:pPr>
              <w:pStyle w:val="TableParagraph"/>
              <w:spacing w:line="188" w:lineRule="exact"/>
              <w:ind w:left="0" w:right="45"/>
              <w:jc w:val="right"/>
              <w:rPr>
                <w:sz w:val="18"/>
              </w:rPr>
            </w:pPr>
            <w:r>
              <w:rPr>
                <w:w w:val="95"/>
                <w:sz w:val="18"/>
              </w:rPr>
              <w:t>1671</w:t>
            </w:r>
          </w:p>
        </w:tc>
        <w:tc>
          <w:tcPr>
            <w:tcW w:w="1659" w:type="dxa"/>
            <w:tcBorders>
              <w:left w:val="single" w:sz="2" w:space="0" w:color="000000"/>
              <w:bottom w:val="single" w:sz="2" w:space="0" w:color="000000"/>
              <w:right w:val="single" w:sz="2" w:space="0" w:color="000000"/>
            </w:tcBorders>
          </w:tcPr>
          <w:p>
            <w:pPr>
              <w:pStyle w:val="TableParagraph"/>
              <w:spacing w:line="188" w:lineRule="exact"/>
              <w:ind w:left="32"/>
              <w:rPr>
                <w:sz w:val="18"/>
              </w:rPr>
            </w:pPr>
            <w:r>
              <w:rPr>
                <w:sz w:val="18"/>
              </w:rPr>
              <w:t>H1</w:t>
            </w: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160.B.12.15.70</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Dolní Vítkov - individuální bydlení v proluce u cesty</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2046</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H1</w:t>
            </w:r>
          </w:p>
        </w:tc>
      </w:tr>
      <w:tr>
        <w:trPr>
          <w:trHeight w:val="206" w:hRule="atLeast"/>
        </w:trPr>
        <w:tc>
          <w:tcPr>
            <w:tcW w:w="1517" w:type="dxa"/>
            <w:tcBorders>
              <w:top w:val="single" w:sz="2" w:space="0" w:color="000000"/>
              <w:left w:val="single" w:sz="2" w:space="0" w:color="000000"/>
              <w:right w:val="single" w:sz="2" w:space="0" w:color="000000"/>
            </w:tcBorders>
          </w:tcPr>
          <w:p>
            <w:pPr>
              <w:pStyle w:val="TableParagraph"/>
              <w:spacing w:line="186" w:lineRule="exact"/>
              <w:ind w:left="88"/>
              <w:rPr>
                <w:sz w:val="18"/>
              </w:rPr>
            </w:pPr>
            <w:r>
              <w:rPr>
                <w:sz w:val="18"/>
              </w:rPr>
              <w:t>162.B.12.20.60</w:t>
            </w:r>
          </w:p>
        </w:tc>
        <w:tc>
          <w:tcPr>
            <w:tcW w:w="5571" w:type="dxa"/>
            <w:tcBorders>
              <w:top w:val="single" w:sz="2" w:space="0" w:color="000000"/>
              <w:left w:val="single" w:sz="2" w:space="0" w:color="000000"/>
              <w:right w:val="single" w:sz="2" w:space="0" w:color="000000"/>
            </w:tcBorders>
          </w:tcPr>
          <w:p>
            <w:pPr>
              <w:pStyle w:val="TableParagraph"/>
              <w:spacing w:line="186" w:lineRule="exact"/>
              <w:ind w:left="88"/>
              <w:rPr>
                <w:sz w:val="18"/>
              </w:rPr>
            </w:pPr>
            <w:r>
              <w:rPr>
                <w:sz w:val="18"/>
              </w:rPr>
              <w:t>Dolní Vítkov - individuální bydlení v proluce u cesty proti statku</w:t>
            </w:r>
          </w:p>
        </w:tc>
        <w:tc>
          <w:tcPr>
            <w:tcW w:w="850" w:type="dxa"/>
            <w:tcBorders>
              <w:top w:val="single" w:sz="2" w:space="0" w:color="000000"/>
              <w:left w:val="single" w:sz="2" w:space="0" w:color="000000"/>
              <w:right w:val="single" w:sz="2" w:space="0" w:color="000000"/>
            </w:tcBorders>
          </w:tcPr>
          <w:p>
            <w:pPr>
              <w:pStyle w:val="TableParagraph"/>
              <w:spacing w:line="186" w:lineRule="exact"/>
              <w:ind w:left="0" w:right="45"/>
              <w:jc w:val="right"/>
              <w:rPr>
                <w:sz w:val="18"/>
              </w:rPr>
            </w:pPr>
            <w:r>
              <w:rPr>
                <w:w w:val="95"/>
                <w:sz w:val="18"/>
              </w:rPr>
              <w:t>1635</w:t>
            </w:r>
          </w:p>
        </w:tc>
        <w:tc>
          <w:tcPr>
            <w:tcW w:w="1659" w:type="dxa"/>
            <w:tcBorders>
              <w:top w:val="single" w:sz="2" w:space="0" w:color="000000"/>
              <w:left w:val="single" w:sz="2" w:space="0" w:color="000000"/>
              <w:right w:val="single" w:sz="2" w:space="0" w:color="000000"/>
            </w:tcBorders>
          </w:tcPr>
          <w:p>
            <w:pPr>
              <w:pStyle w:val="TableParagraph"/>
              <w:spacing w:line="186" w:lineRule="exact"/>
              <w:ind w:left="32"/>
              <w:rPr>
                <w:sz w:val="18"/>
              </w:rPr>
            </w:pPr>
            <w:r>
              <w:rPr>
                <w:sz w:val="18"/>
              </w:rPr>
              <w:t>H1, BK, 1St</w:t>
            </w:r>
          </w:p>
        </w:tc>
      </w:tr>
      <w:tr>
        <w:trPr>
          <w:trHeight w:val="208" w:hRule="atLeast"/>
        </w:trPr>
        <w:tc>
          <w:tcPr>
            <w:tcW w:w="7938" w:type="dxa"/>
            <w:gridSpan w:val="3"/>
            <w:shd w:val="clear" w:color="auto" w:fill="DADADA"/>
          </w:tcPr>
          <w:p>
            <w:pPr>
              <w:pStyle w:val="TableParagraph"/>
              <w:spacing w:line="188" w:lineRule="exact"/>
              <w:ind w:left="28"/>
              <w:rPr>
                <w:b/>
                <w:sz w:val="18"/>
              </w:rPr>
            </w:pPr>
            <w:r>
              <w:rPr>
                <w:b/>
                <w:sz w:val="18"/>
              </w:rPr>
              <w:t>k.ú. Horní Vítkov</w:t>
            </w:r>
          </w:p>
        </w:tc>
        <w:tc>
          <w:tcPr>
            <w:tcW w:w="1659" w:type="dxa"/>
            <w:shd w:val="clear" w:color="auto" w:fill="DADADA"/>
          </w:tcPr>
          <w:p>
            <w:pPr>
              <w:pStyle w:val="TableParagraph"/>
              <w:ind w:left="0"/>
              <w:rPr>
                <w:rFonts w:ascii="Times New Roman"/>
                <w:sz w:val="14"/>
              </w:rPr>
            </w:pPr>
          </w:p>
        </w:tc>
      </w:tr>
      <w:tr>
        <w:trPr>
          <w:trHeight w:val="206" w:hRule="atLeast"/>
        </w:trPr>
        <w:tc>
          <w:tcPr>
            <w:tcW w:w="1517" w:type="dxa"/>
            <w:tcBorders>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181.B.9.15.70</w:t>
            </w:r>
          </w:p>
        </w:tc>
        <w:tc>
          <w:tcPr>
            <w:tcW w:w="5571" w:type="dxa"/>
            <w:tcBorders>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Horní Vítkov – přestavba okolí kostela na individuální bydlení</w:t>
            </w:r>
          </w:p>
        </w:tc>
        <w:tc>
          <w:tcPr>
            <w:tcW w:w="850" w:type="dxa"/>
            <w:tcBorders>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1915</w:t>
            </w:r>
          </w:p>
        </w:tc>
        <w:tc>
          <w:tcPr>
            <w:tcW w:w="1659" w:type="dxa"/>
            <w:tcBorders>
              <w:left w:val="single" w:sz="2" w:space="0" w:color="000000"/>
              <w:bottom w:val="single" w:sz="2" w:space="0" w:color="000000"/>
              <w:right w:val="single" w:sz="2" w:space="0" w:color="000000"/>
            </w:tcBorders>
          </w:tcPr>
          <w:p>
            <w:pPr>
              <w:pStyle w:val="TableParagraph"/>
              <w:spacing w:line="186" w:lineRule="exact"/>
              <w:ind w:left="32"/>
              <w:rPr>
                <w:sz w:val="18"/>
              </w:rPr>
            </w:pPr>
            <w:r>
              <w:rPr>
                <w:sz w:val="18"/>
              </w:rPr>
              <w:t>1St</w:t>
            </w:r>
          </w:p>
        </w:tc>
      </w:tr>
    </w:tbl>
    <w:p>
      <w:pPr>
        <w:pStyle w:val="BodyText"/>
        <w:spacing w:before="9"/>
        <w:ind w:left="0" w:firstLine="0"/>
        <w:jc w:val="left"/>
        <w:rPr>
          <w:b/>
          <w:sz w:val="18"/>
        </w:rPr>
      </w:pPr>
      <w:r>
        <w:rPr/>
        <w:pict>
          <v:shape style="position:absolute;margin-left:55.199997pt;margin-top:12pt;width:484.8pt;height:15pt;mso-position-horizontal-relative:page;mso-position-vertical-relative:paragraph;z-index:-15723520;mso-wrap-distance-left:0;mso-wrap-distance-right:0" type="#_x0000_t202" filled="true" fillcolor="#ccffff" stroked="false">
            <v:textbox inset="0,0,0,0">
              <w:txbxContent>
                <w:p>
                  <w:pPr>
                    <w:tabs>
                      <w:tab w:pos="880" w:val="left" w:leader="none"/>
                    </w:tabs>
                    <w:spacing w:line="295" w:lineRule="exact" w:before="0"/>
                    <w:ind w:left="28" w:right="0" w:firstLine="0"/>
                    <w:jc w:val="left"/>
                    <w:rPr>
                      <w:b/>
                      <w:sz w:val="26"/>
                    </w:rPr>
                  </w:pPr>
                  <w:r>
                    <w:rPr>
                      <w:b/>
                      <w:sz w:val="26"/>
                    </w:rPr>
                    <w:t>C.4</w:t>
                    <w:tab/>
                    <w:t>NÁVRH NEZASTAVITELNÝCH PLOCH – SYSTÉMU SÍDELNÍ</w:t>
                  </w:r>
                  <w:r>
                    <w:rPr>
                      <w:b/>
                      <w:spacing w:val="-9"/>
                      <w:sz w:val="26"/>
                    </w:rPr>
                    <w:t> </w:t>
                  </w:r>
                  <w:r>
                    <w:rPr>
                      <w:b/>
                      <w:sz w:val="26"/>
                    </w:rPr>
                    <w:t>ZELENĚ</w:t>
                  </w:r>
                </w:p>
              </w:txbxContent>
            </v:textbox>
            <v:fill type="solid"/>
            <w10:wrap type="topAndBottom"/>
          </v:shape>
        </w:pict>
      </w:r>
    </w:p>
    <w:p>
      <w:pPr>
        <w:pStyle w:val="BodyText"/>
        <w:ind w:left="0" w:firstLine="0"/>
        <w:jc w:val="left"/>
        <w:rPr>
          <w:b/>
          <w:sz w:val="19"/>
        </w:rPr>
      </w:pPr>
    </w:p>
    <w:p>
      <w:pPr>
        <w:tabs>
          <w:tab w:pos="1024" w:val="left" w:leader="none"/>
        </w:tabs>
        <w:spacing w:before="1" w:after="5"/>
        <w:ind w:left="172" w:right="0" w:firstLine="0"/>
        <w:jc w:val="left"/>
        <w:rPr>
          <w:b/>
          <w:sz w:val="18"/>
        </w:rPr>
      </w:pPr>
      <w:r>
        <w:rPr>
          <w:b/>
          <w:sz w:val="18"/>
        </w:rPr>
        <w:t>Tab.:</w:t>
        <w:tab/>
        <w:t>Návrh nezastavitelných ploch – systému sídelní</w:t>
      </w:r>
      <w:r>
        <w:rPr>
          <w:b/>
          <w:spacing w:val="-3"/>
          <w:sz w:val="18"/>
        </w:rPr>
        <w:t> </w:t>
      </w:r>
      <w:r>
        <w:rPr>
          <w:b/>
          <w:sz w:val="18"/>
        </w:rPr>
        <w:t>zeleně</w:t>
      </w: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17"/>
        <w:gridCol w:w="5571"/>
        <w:gridCol w:w="850"/>
        <w:gridCol w:w="1659"/>
      </w:tblGrid>
      <w:tr>
        <w:trPr>
          <w:trHeight w:val="414" w:hRule="atLeast"/>
        </w:trPr>
        <w:tc>
          <w:tcPr>
            <w:tcW w:w="1517" w:type="dxa"/>
            <w:shd w:val="clear" w:color="auto" w:fill="CCFFFF"/>
          </w:tcPr>
          <w:p>
            <w:pPr>
              <w:pStyle w:val="TableParagraph"/>
              <w:spacing w:line="201" w:lineRule="exact"/>
              <w:ind w:left="28"/>
              <w:rPr>
                <w:b/>
                <w:sz w:val="18"/>
              </w:rPr>
            </w:pPr>
            <w:r>
              <w:rPr>
                <w:b/>
                <w:sz w:val="18"/>
              </w:rPr>
              <w:t>sektor/plocha/</w:t>
            </w:r>
          </w:p>
          <w:p>
            <w:pPr>
              <w:pStyle w:val="TableParagraph"/>
              <w:spacing w:line="194" w:lineRule="exact"/>
              <w:ind w:left="28"/>
              <w:rPr>
                <w:b/>
                <w:sz w:val="18"/>
              </w:rPr>
            </w:pPr>
            <w:r>
              <w:rPr>
                <w:b/>
                <w:sz w:val="18"/>
              </w:rPr>
              <w:t>funkce/regulace</w:t>
            </w:r>
          </w:p>
        </w:tc>
        <w:tc>
          <w:tcPr>
            <w:tcW w:w="5571" w:type="dxa"/>
            <w:shd w:val="clear" w:color="auto" w:fill="CCFFFF"/>
          </w:tcPr>
          <w:p>
            <w:pPr>
              <w:pStyle w:val="TableParagraph"/>
              <w:spacing w:line="201" w:lineRule="exact"/>
              <w:ind w:left="28"/>
              <w:rPr>
                <w:b/>
                <w:sz w:val="18"/>
              </w:rPr>
            </w:pPr>
            <w:r>
              <w:rPr>
                <w:b/>
                <w:sz w:val="18"/>
              </w:rPr>
              <w:t>umístění / účel</w:t>
            </w:r>
          </w:p>
        </w:tc>
        <w:tc>
          <w:tcPr>
            <w:tcW w:w="850" w:type="dxa"/>
            <w:shd w:val="clear" w:color="auto" w:fill="CCFFFF"/>
          </w:tcPr>
          <w:p>
            <w:pPr>
              <w:pStyle w:val="TableParagraph"/>
              <w:spacing w:line="201" w:lineRule="exact"/>
              <w:ind w:left="27"/>
              <w:rPr>
                <w:b/>
                <w:sz w:val="18"/>
              </w:rPr>
            </w:pPr>
            <w:r>
              <w:rPr>
                <w:b/>
                <w:sz w:val="18"/>
              </w:rPr>
              <w:t>Výměra</w:t>
            </w:r>
          </w:p>
        </w:tc>
        <w:tc>
          <w:tcPr>
            <w:tcW w:w="1659" w:type="dxa"/>
            <w:shd w:val="clear" w:color="auto" w:fill="CCFFFF"/>
          </w:tcPr>
          <w:p>
            <w:pPr>
              <w:pStyle w:val="TableParagraph"/>
              <w:spacing w:line="201" w:lineRule="exact"/>
              <w:ind w:left="29"/>
              <w:rPr>
                <w:b/>
                <w:sz w:val="18"/>
              </w:rPr>
            </w:pPr>
            <w:r>
              <w:rPr>
                <w:b/>
                <w:sz w:val="18"/>
              </w:rPr>
              <w:t>podmínky</w:t>
            </w:r>
          </w:p>
        </w:tc>
      </w:tr>
      <w:tr>
        <w:trPr>
          <w:trHeight w:val="205" w:hRule="atLeast"/>
        </w:trPr>
        <w:tc>
          <w:tcPr>
            <w:tcW w:w="7938" w:type="dxa"/>
            <w:gridSpan w:val="3"/>
            <w:shd w:val="clear" w:color="auto" w:fill="DADADA"/>
          </w:tcPr>
          <w:p>
            <w:pPr>
              <w:pStyle w:val="TableParagraph"/>
              <w:spacing w:line="186" w:lineRule="exact"/>
              <w:ind w:left="28"/>
              <w:rPr>
                <w:b/>
                <w:sz w:val="18"/>
              </w:rPr>
            </w:pPr>
            <w:r>
              <w:rPr>
                <w:b/>
                <w:sz w:val="18"/>
              </w:rPr>
              <w:t>k.ú. Chrastava I</w:t>
            </w:r>
          </w:p>
        </w:tc>
        <w:tc>
          <w:tcPr>
            <w:tcW w:w="1659" w:type="dxa"/>
            <w:shd w:val="clear" w:color="auto" w:fill="DADADA"/>
          </w:tcPr>
          <w:p>
            <w:pPr>
              <w:pStyle w:val="TableParagraph"/>
              <w:ind w:left="0"/>
              <w:rPr>
                <w:rFonts w:ascii="Times New Roman"/>
                <w:sz w:val="14"/>
              </w:rPr>
            </w:pPr>
          </w:p>
        </w:tc>
      </w:tr>
      <w:tr>
        <w:trPr>
          <w:trHeight w:val="208" w:hRule="atLeast"/>
        </w:trPr>
        <w:tc>
          <w:tcPr>
            <w:tcW w:w="1517" w:type="dxa"/>
            <w:tcBorders>
              <w:left w:val="single" w:sz="2" w:space="0" w:color="000000"/>
              <w:bottom w:val="single" w:sz="2" w:space="0" w:color="000000"/>
              <w:right w:val="single" w:sz="2" w:space="0" w:color="000000"/>
            </w:tcBorders>
          </w:tcPr>
          <w:p>
            <w:pPr>
              <w:pStyle w:val="TableParagraph"/>
              <w:spacing w:line="188" w:lineRule="exact"/>
              <w:ind w:left="88"/>
              <w:rPr>
                <w:sz w:val="18"/>
              </w:rPr>
            </w:pPr>
            <w:r>
              <w:rPr>
                <w:sz w:val="18"/>
              </w:rPr>
              <w:t>34.N</w:t>
            </w:r>
          </w:p>
        </w:tc>
        <w:tc>
          <w:tcPr>
            <w:tcW w:w="5571" w:type="dxa"/>
            <w:tcBorders>
              <w:left w:val="single" w:sz="2" w:space="0" w:color="000000"/>
              <w:bottom w:val="single" w:sz="2" w:space="0" w:color="000000"/>
              <w:right w:val="single" w:sz="2" w:space="0" w:color="000000"/>
            </w:tcBorders>
          </w:tcPr>
          <w:p>
            <w:pPr>
              <w:pStyle w:val="TableParagraph"/>
              <w:spacing w:line="188" w:lineRule="exact"/>
              <w:ind w:left="88"/>
              <w:rPr>
                <w:sz w:val="18"/>
              </w:rPr>
            </w:pPr>
            <w:r>
              <w:rPr>
                <w:sz w:val="18"/>
              </w:rPr>
              <w:t>pod Ovčí horou - převod do PUPFL - součást funkčního BC 506.</w:t>
            </w:r>
          </w:p>
        </w:tc>
        <w:tc>
          <w:tcPr>
            <w:tcW w:w="850" w:type="dxa"/>
            <w:tcBorders>
              <w:left w:val="single" w:sz="2" w:space="0" w:color="000000"/>
              <w:bottom w:val="single" w:sz="2" w:space="0" w:color="000000"/>
              <w:right w:val="single" w:sz="2" w:space="0" w:color="000000"/>
            </w:tcBorders>
          </w:tcPr>
          <w:p>
            <w:pPr>
              <w:pStyle w:val="TableParagraph"/>
              <w:spacing w:line="188" w:lineRule="exact"/>
              <w:ind w:left="0" w:right="45"/>
              <w:jc w:val="right"/>
              <w:rPr>
                <w:sz w:val="18"/>
              </w:rPr>
            </w:pPr>
            <w:r>
              <w:rPr>
                <w:w w:val="95"/>
                <w:sz w:val="18"/>
              </w:rPr>
              <w:t>2633</w:t>
            </w:r>
          </w:p>
        </w:tc>
        <w:tc>
          <w:tcPr>
            <w:tcW w:w="1659" w:type="dxa"/>
            <w:tcBorders>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35.L</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pod Ovčí horou - převod do PUPFL</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2721</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36.L</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u obalovny - převod do PUPFL</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185</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37.L</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u obalovny - převod do PUPFL</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1970</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8"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7" w:lineRule="exact" w:before="1"/>
              <w:ind w:left="88"/>
              <w:rPr>
                <w:sz w:val="18"/>
              </w:rPr>
            </w:pPr>
            <w:r>
              <w:rPr>
                <w:sz w:val="18"/>
              </w:rPr>
              <w:t>38.L</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7" w:lineRule="exact" w:before="1"/>
              <w:ind w:left="88"/>
              <w:rPr>
                <w:sz w:val="18"/>
              </w:rPr>
            </w:pPr>
            <w:r>
              <w:rPr>
                <w:sz w:val="18"/>
              </w:rPr>
              <w:t>u obalovny - převod do PUPFL</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7" w:lineRule="exact" w:before="1"/>
              <w:ind w:left="0" w:right="45"/>
              <w:jc w:val="right"/>
              <w:rPr>
                <w:sz w:val="18"/>
              </w:rPr>
            </w:pPr>
            <w:r>
              <w:rPr>
                <w:w w:val="95"/>
                <w:sz w:val="18"/>
              </w:rPr>
              <w:t>1168</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39.L</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pod Ovčí horou - převod do PUPFL</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9163</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6" w:hRule="atLeast"/>
        </w:trPr>
        <w:tc>
          <w:tcPr>
            <w:tcW w:w="1517" w:type="dxa"/>
            <w:tcBorders>
              <w:top w:val="single" w:sz="2" w:space="0" w:color="000000"/>
              <w:left w:val="single" w:sz="2" w:space="0" w:color="000000"/>
              <w:right w:val="single" w:sz="2" w:space="0" w:color="000000"/>
            </w:tcBorders>
          </w:tcPr>
          <w:p>
            <w:pPr>
              <w:pStyle w:val="TableParagraph"/>
              <w:spacing w:line="186" w:lineRule="exact"/>
              <w:ind w:left="88"/>
              <w:rPr>
                <w:sz w:val="18"/>
              </w:rPr>
            </w:pPr>
            <w:r>
              <w:rPr>
                <w:sz w:val="18"/>
              </w:rPr>
              <w:t>47.Z</w:t>
            </w:r>
          </w:p>
        </w:tc>
        <w:tc>
          <w:tcPr>
            <w:tcW w:w="5571" w:type="dxa"/>
            <w:tcBorders>
              <w:top w:val="single" w:sz="2" w:space="0" w:color="000000"/>
              <w:left w:val="single" w:sz="2" w:space="0" w:color="000000"/>
              <w:right w:val="single" w:sz="2" w:space="0" w:color="000000"/>
            </w:tcBorders>
          </w:tcPr>
          <w:p>
            <w:pPr>
              <w:pStyle w:val="TableParagraph"/>
              <w:spacing w:line="186" w:lineRule="exact"/>
              <w:ind w:left="88"/>
              <w:rPr>
                <w:sz w:val="18"/>
              </w:rPr>
            </w:pPr>
            <w:r>
              <w:rPr>
                <w:sz w:val="18"/>
              </w:rPr>
              <w:t>Školní – rozšíření veřejného parku na kostelním pahorku</w:t>
            </w:r>
          </w:p>
        </w:tc>
        <w:tc>
          <w:tcPr>
            <w:tcW w:w="850" w:type="dxa"/>
            <w:tcBorders>
              <w:top w:val="single" w:sz="2" w:space="0" w:color="000000"/>
              <w:left w:val="single" w:sz="2" w:space="0" w:color="000000"/>
              <w:right w:val="single" w:sz="2" w:space="0" w:color="000000"/>
            </w:tcBorders>
          </w:tcPr>
          <w:p>
            <w:pPr>
              <w:pStyle w:val="TableParagraph"/>
              <w:spacing w:line="186" w:lineRule="exact"/>
              <w:ind w:left="0" w:right="45"/>
              <w:jc w:val="right"/>
              <w:rPr>
                <w:sz w:val="18"/>
              </w:rPr>
            </w:pPr>
            <w:r>
              <w:rPr>
                <w:w w:val="95"/>
                <w:sz w:val="18"/>
              </w:rPr>
              <w:t>632</w:t>
            </w:r>
          </w:p>
        </w:tc>
        <w:tc>
          <w:tcPr>
            <w:tcW w:w="1659" w:type="dxa"/>
            <w:tcBorders>
              <w:top w:val="single" w:sz="2" w:space="0" w:color="000000"/>
              <w:left w:val="single" w:sz="2" w:space="0" w:color="000000"/>
              <w:right w:val="single" w:sz="2" w:space="0" w:color="000000"/>
            </w:tcBorders>
          </w:tcPr>
          <w:p>
            <w:pPr>
              <w:pStyle w:val="TableParagraph"/>
              <w:spacing w:line="186" w:lineRule="exact"/>
              <w:ind w:left="32"/>
              <w:rPr>
                <w:sz w:val="18"/>
              </w:rPr>
            </w:pPr>
            <w:r>
              <w:rPr>
                <w:sz w:val="18"/>
              </w:rPr>
              <w:t>MPZ</w:t>
            </w:r>
          </w:p>
        </w:tc>
      </w:tr>
      <w:tr>
        <w:trPr>
          <w:trHeight w:val="208" w:hRule="atLeast"/>
        </w:trPr>
        <w:tc>
          <w:tcPr>
            <w:tcW w:w="7938" w:type="dxa"/>
            <w:gridSpan w:val="3"/>
            <w:shd w:val="clear" w:color="auto" w:fill="DADADA"/>
          </w:tcPr>
          <w:p>
            <w:pPr>
              <w:pStyle w:val="TableParagraph"/>
              <w:spacing w:line="188" w:lineRule="exact"/>
              <w:ind w:left="28"/>
              <w:rPr>
                <w:b/>
                <w:sz w:val="18"/>
              </w:rPr>
            </w:pPr>
            <w:r>
              <w:rPr>
                <w:b/>
                <w:sz w:val="18"/>
              </w:rPr>
              <w:t>k.ú. Dolní Chrastava</w:t>
            </w:r>
          </w:p>
        </w:tc>
        <w:tc>
          <w:tcPr>
            <w:tcW w:w="1659" w:type="dxa"/>
            <w:shd w:val="clear" w:color="auto" w:fill="DADADA"/>
          </w:tcPr>
          <w:p>
            <w:pPr>
              <w:pStyle w:val="TableParagraph"/>
              <w:ind w:left="0"/>
              <w:rPr>
                <w:rFonts w:ascii="Times New Roman"/>
                <w:sz w:val="14"/>
              </w:rPr>
            </w:pPr>
          </w:p>
        </w:tc>
      </w:tr>
      <w:tr>
        <w:trPr>
          <w:trHeight w:val="206" w:hRule="atLeast"/>
        </w:trPr>
        <w:tc>
          <w:tcPr>
            <w:tcW w:w="1517" w:type="dxa"/>
            <w:tcBorders>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84.Z</w:t>
            </w:r>
          </w:p>
        </w:tc>
        <w:tc>
          <w:tcPr>
            <w:tcW w:w="5571" w:type="dxa"/>
            <w:tcBorders>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nad Vítkovskou – oddělení obytných a zemědělských ploch</w:t>
            </w:r>
          </w:p>
        </w:tc>
        <w:tc>
          <w:tcPr>
            <w:tcW w:w="850" w:type="dxa"/>
            <w:tcBorders>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22457</w:t>
            </w:r>
          </w:p>
        </w:tc>
        <w:tc>
          <w:tcPr>
            <w:tcW w:w="1659" w:type="dxa"/>
            <w:tcBorders>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8"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85.Z</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Nádražní – revitalizace zeleného pásu podél Jeřice</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0" w:right="45"/>
              <w:jc w:val="right"/>
              <w:rPr>
                <w:sz w:val="18"/>
              </w:rPr>
            </w:pPr>
            <w:r>
              <w:rPr>
                <w:w w:val="95"/>
                <w:sz w:val="18"/>
              </w:rPr>
              <w:t>1452</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86.N</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k Bílému kostelu – rozšíření biocentra BC 1254</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3293</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6" w:hRule="atLeast"/>
        </w:trPr>
        <w:tc>
          <w:tcPr>
            <w:tcW w:w="1517" w:type="dxa"/>
            <w:tcBorders>
              <w:top w:val="single" w:sz="2" w:space="0" w:color="000000"/>
              <w:left w:val="single" w:sz="2" w:space="0" w:color="000000"/>
              <w:right w:val="single" w:sz="2" w:space="0" w:color="000000"/>
            </w:tcBorders>
          </w:tcPr>
          <w:p>
            <w:pPr>
              <w:pStyle w:val="TableParagraph"/>
              <w:spacing w:line="186" w:lineRule="exact"/>
              <w:ind w:left="88"/>
              <w:rPr>
                <w:sz w:val="18"/>
              </w:rPr>
            </w:pPr>
            <w:r>
              <w:rPr>
                <w:sz w:val="18"/>
              </w:rPr>
              <w:t>97.L</w:t>
            </w:r>
          </w:p>
        </w:tc>
        <w:tc>
          <w:tcPr>
            <w:tcW w:w="5571" w:type="dxa"/>
            <w:tcBorders>
              <w:top w:val="single" w:sz="2" w:space="0" w:color="000000"/>
              <w:left w:val="single" w:sz="2" w:space="0" w:color="000000"/>
              <w:right w:val="single" w:sz="2" w:space="0" w:color="000000"/>
            </w:tcBorders>
          </w:tcPr>
          <w:p>
            <w:pPr>
              <w:pStyle w:val="TableParagraph"/>
              <w:spacing w:line="186" w:lineRule="exact"/>
              <w:ind w:left="88"/>
              <w:rPr>
                <w:sz w:val="18"/>
              </w:rPr>
            </w:pPr>
            <w:r>
              <w:rPr>
                <w:sz w:val="18"/>
              </w:rPr>
              <w:t>pod Ovčí horou - převod do PUPFL</w:t>
            </w:r>
          </w:p>
        </w:tc>
        <w:tc>
          <w:tcPr>
            <w:tcW w:w="850" w:type="dxa"/>
            <w:tcBorders>
              <w:top w:val="single" w:sz="2" w:space="0" w:color="000000"/>
              <w:left w:val="single" w:sz="2" w:space="0" w:color="000000"/>
              <w:right w:val="single" w:sz="2" w:space="0" w:color="000000"/>
            </w:tcBorders>
          </w:tcPr>
          <w:p>
            <w:pPr>
              <w:pStyle w:val="TableParagraph"/>
              <w:spacing w:line="186" w:lineRule="exact"/>
              <w:ind w:left="0" w:right="45"/>
              <w:jc w:val="right"/>
              <w:rPr>
                <w:sz w:val="18"/>
              </w:rPr>
            </w:pPr>
            <w:r>
              <w:rPr>
                <w:w w:val="95"/>
                <w:sz w:val="18"/>
              </w:rPr>
              <w:t>2553</w:t>
            </w:r>
          </w:p>
        </w:tc>
        <w:tc>
          <w:tcPr>
            <w:tcW w:w="1659" w:type="dxa"/>
            <w:tcBorders>
              <w:top w:val="single" w:sz="2" w:space="0" w:color="000000"/>
              <w:left w:val="single" w:sz="2" w:space="0" w:color="000000"/>
              <w:right w:val="single" w:sz="2" w:space="0" w:color="000000"/>
            </w:tcBorders>
          </w:tcPr>
          <w:p>
            <w:pPr>
              <w:pStyle w:val="TableParagraph"/>
              <w:ind w:left="0"/>
              <w:rPr>
                <w:rFonts w:ascii="Times New Roman"/>
                <w:sz w:val="14"/>
              </w:rPr>
            </w:pPr>
          </w:p>
        </w:tc>
      </w:tr>
      <w:tr>
        <w:trPr>
          <w:trHeight w:val="208" w:hRule="atLeast"/>
        </w:trPr>
        <w:tc>
          <w:tcPr>
            <w:tcW w:w="7938" w:type="dxa"/>
            <w:gridSpan w:val="3"/>
            <w:shd w:val="clear" w:color="auto" w:fill="DADADA"/>
          </w:tcPr>
          <w:p>
            <w:pPr>
              <w:pStyle w:val="TableParagraph"/>
              <w:spacing w:line="188" w:lineRule="exact"/>
              <w:ind w:left="28"/>
              <w:rPr>
                <w:b/>
                <w:sz w:val="18"/>
              </w:rPr>
            </w:pPr>
            <w:r>
              <w:rPr>
                <w:b/>
                <w:sz w:val="18"/>
              </w:rPr>
              <w:t>k.ú. Andělská Hora</w:t>
            </w:r>
          </w:p>
        </w:tc>
        <w:tc>
          <w:tcPr>
            <w:tcW w:w="1659" w:type="dxa"/>
            <w:shd w:val="clear" w:color="auto" w:fill="DADADA"/>
          </w:tcPr>
          <w:p>
            <w:pPr>
              <w:pStyle w:val="TableParagraph"/>
              <w:ind w:left="0"/>
              <w:rPr>
                <w:rFonts w:ascii="Times New Roman"/>
                <w:sz w:val="14"/>
              </w:rPr>
            </w:pPr>
          </w:p>
        </w:tc>
      </w:tr>
      <w:tr>
        <w:trPr>
          <w:trHeight w:val="206" w:hRule="atLeast"/>
        </w:trPr>
        <w:tc>
          <w:tcPr>
            <w:tcW w:w="1517" w:type="dxa"/>
            <w:tcBorders>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134.Z</w:t>
            </w:r>
          </w:p>
        </w:tc>
        <w:tc>
          <w:tcPr>
            <w:tcW w:w="5571" w:type="dxa"/>
            <w:tcBorders>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Andělská Hora - revitalizace zeleného pásu podél Nisy u elektrárny</w:t>
            </w:r>
          </w:p>
        </w:tc>
        <w:tc>
          <w:tcPr>
            <w:tcW w:w="850" w:type="dxa"/>
            <w:tcBorders>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9782</w:t>
            </w:r>
          </w:p>
        </w:tc>
        <w:tc>
          <w:tcPr>
            <w:tcW w:w="1659" w:type="dxa"/>
            <w:tcBorders>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6" w:hRule="atLeast"/>
        </w:trPr>
        <w:tc>
          <w:tcPr>
            <w:tcW w:w="1517"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135.Z</w:t>
            </w:r>
          </w:p>
        </w:tc>
        <w:tc>
          <w:tcPr>
            <w:tcW w:w="5571"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Andělská Hora - revitalizace zeleného pásu podél Nisy na skládce</w:t>
            </w:r>
          </w:p>
        </w:tc>
        <w:tc>
          <w:tcPr>
            <w:tcW w:w="850"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18576</w:t>
            </w:r>
          </w:p>
        </w:tc>
        <w:tc>
          <w:tcPr>
            <w:tcW w:w="165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bl>
    <w:p>
      <w:pPr>
        <w:spacing w:after="0"/>
        <w:rPr>
          <w:rFonts w:ascii="Times New Roman"/>
          <w:sz w:val="14"/>
        </w:rPr>
        <w:sectPr>
          <w:pgSz w:w="11900" w:h="16840"/>
          <w:pgMar w:header="561" w:footer="582" w:top="760" w:bottom="780" w:left="960" w:right="980"/>
        </w:sectPr>
      </w:pPr>
    </w:p>
    <w:p>
      <w:pPr>
        <w:pStyle w:val="BodyText"/>
        <w:ind w:left="0" w:firstLine="0"/>
        <w:jc w:val="left"/>
        <w:rPr>
          <w:b/>
          <w:sz w:val="20"/>
        </w:rPr>
      </w:pPr>
    </w:p>
    <w:p>
      <w:pPr>
        <w:pStyle w:val="BodyText"/>
        <w:ind w:left="0" w:firstLine="0"/>
        <w:jc w:val="left"/>
        <w:rPr>
          <w:b/>
          <w:sz w:val="20"/>
        </w:rPr>
      </w:pPr>
    </w:p>
    <w:p>
      <w:pPr>
        <w:pStyle w:val="BodyText"/>
        <w:spacing w:before="2"/>
        <w:ind w:left="0" w:firstLine="0"/>
        <w:jc w:val="left"/>
        <w:rPr>
          <w:b/>
          <w:sz w:val="12"/>
        </w:rPr>
      </w:pPr>
    </w:p>
    <w:p>
      <w:pPr>
        <w:pStyle w:val="BodyText"/>
        <w:ind w:left="144" w:firstLine="0"/>
        <w:jc w:val="left"/>
        <w:rPr>
          <w:sz w:val="20"/>
        </w:rPr>
      </w:pPr>
      <w:r>
        <w:rPr>
          <w:sz w:val="20"/>
        </w:rPr>
        <w:pict>
          <v:shape style="width:484.7pt;height:15pt;mso-position-horizontal-relative:char;mso-position-vertical-relative:line" type="#_x0000_t202" filled="true" fillcolor="#32cccc" stroked="false">
            <w10:anchorlock/>
            <v:textbox inset="0,0,0,0">
              <w:txbxContent>
                <w:p>
                  <w:pPr>
                    <w:tabs>
                      <w:tab w:pos="880" w:val="left" w:leader="none"/>
                    </w:tabs>
                    <w:spacing w:line="295" w:lineRule="exact" w:before="0"/>
                    <w:ind w:left="28" w:right="0" w:firstLine="0"/>
                    <w:jc w:val="left"/>
                    <w:rPr>
                      <w:b/>
                      <w:sz w:val="26"/>
                    </w:rPr>
                  </w:pPr>
                  <w:r>
                    <w:rPr>
                      <w:b/>
                      <w:sz w:val="26"/>
                    </w:rPr>
                    <w:t>D</w:t>
                    <w:tab/>
                    <w:t>KONCEPCE VEŘEJNÉ</w:t>
                  </w:r>
                  <w:r>
                    <w:rPr>
                      <w:b/>
                      <w:spacing w:val="-3"/>
                      <w:sz w:val="26"/>
                    </w:rPr>
                    <w:t> </w:t>
                  </w:r>
                  <w:r>
                    <w:rPr>
                      <w:b/>
                      <w:sz w:val="26"/>
                    </w:rPr>
                    <w:t>INFRASTRUKTURY</w:t>
                  </w:r>
                </w:p>
              </w:txbxContent>
            </v:textbox>
            <v:fill type="solid"/>
          </v:shape>
        </w:pict>
      </w:r>
      <w:r>
        <w:rPr>
          <w:sz w:val="20"/>
        </w:rPr>
      </w:r>
    </w:p>
    <w:p>
      <w:pPr>
        <w:pStyle w:val="BodyText"/>
        <w:spacing w:before="6"/>
        <w:ind w:left="0" w:firstLine="0"/>
        <w:jc w:val="left"/>
        <w:rPr>
          <w:b/>
          <w:sz w:val="19"/>
        </w:rPr>
      </w:pPr>
      <w:r>
        <w:rPr/>
        <w:pict>
          <v:shape style="position:absolute;margin-left:55.199997pt;margin-top:12.45pt;width:484.7pt;height:14.9pt;mso-position-horizontal-relative:page;mso-position-vertical-relative:paragraph;z-index:-15722496;mso-wrap-distance-left:0;mso-wrap-distance-right:0" type="#_x0000_t202" filled="true" fillcolor="#ccffff" stroked="false">
            <v:textbox inset="0,0,0,0">
              <w:txbxContent>
                <w:p>
                  <w:pPr>
                    <w:tabs>
                      <w:tab w:pos="880" w:val="left" w:leader="none"/>
                    </w:tabs>
                    <w:spacing w:line="295" w:lineRule="exact" w:before="0"/>
                    <w:ind w:left="28" w:right="0" w:firstLine="0"/>
                    <w:jc w:val="left"/>
                    <w:rPr>
                      <w:b/>
                      <w:sz w:val="26"/>
                    </w:rPr>
                  </w:pPr>
                  <w:r>
                    <w:rPr>
                      <w:b/>
                      <w:sz w:val="26"/>
                    </w:rPr>
                    <w:t>D.1</w:t>
                    <w:tab/>
                    <w:t>DOPRAVNÍ</w:t>
                  </w:r>
                  <w:r>
                    <w:rPr>
                      <w:b/>
                      <w:spacing w:val="-2"/>
                      <w:sz w:val="26"/>
                    </w:rPr>
                    <w:t> </w:t>
                  </w:r>
                  <w:r>
                    <w:rPr>
                      <w:b/>
                      <w:sz w:val="26"/>
                    </w:rPr>
                    <w:t>INFRASTRUKTURA</w:t>
                  </w:r>
                </w:p>
              </w:txbxContent>
            </v:textbox>
            <v:fill type="solid"/>
            <w10:wrap type="topAndBottom"/>
          </v:shape>
        </w:pict>
      </w:r>
    </w:p>
    <w:p>
      <w:pPr>
        <w:pStyle w:val="ListParagraph"/>
        <w:numPr>
          <w:ilvl w:val="0"/>
          <w:numId w:val="1"/>
        </w:numPr>
        <w:tabs>
          <w:tab w:pos="1024" w:val="left" w:leader="none"/>
          <w:tab w:pos="1025" w:val="left" w:leader="none"/>
        </w:tabs>
        <w:spacing w:line="240" w:lineRule="auto" w:before="102" w:after="0"/>
        <w:ind w:left="1024" w:right="146" w:hanging="853"/>
        <w:jc w:val="both"/>
        <w:rPr>
          <w:sz w:val="22"/>
        </w:rPr>
      </w:pPr>
      <w:r>
        <w:rPr>
          <w:sz w:val="22"/>
        </w:rPr>
        <w:t>Koncepce dopravy stanovená především vymezením dopravních ploch a koridorů je zakreslena v </w:t>
      </w:r>
      <w:r>
        <w:rPr>
          <w:b/>
          <w:sz w:val="22"/>
        </w:rPr>
        <w:t>Hlavním výkresu</w:t>
      </w:r>
      <w:r>
        <w:rPr>
          <w:b/>
          <w:spacing w:val="-4"/>
          <w:sz w:val="22"/>
        </w:rPr>
        <w:t> </w:t>
      </w:r>
      <w:r>
        <w:rPr>
          <w:sz w:val="22"/>
        </w:rPr>
        <w:t>(2).</w:t>
      </w:r>
    </w:p>
    <w:p>
      <w:pPr>
        <w:pStyle w:val="ListParagraph"/>
        <w:numPr>
          <w:ilvl w:val="0"/>
          <w:numId w:val="1"/>
        </w:numPr>
        <w:tabs>
          <w:tab w:pos="1024" w:val="left" w:leader="none"/>
          <w:tab w:pos="1025" w:val="left" w:leader="none"/>
        </w:tabs>
        <w:spacing w:line="240" w:lineRule="auto" w:before="121" w:after="0"/>
        <w:ind w:left="1024" w:right="145" w:hanging="853"/>
        <w:jc w:val="both"/>
        <w:rPr>
          <w:sz w:val="22"/>
        </w:rPr>
      </w:pPr>
      <w:r>
        <w:rPr>
          <w:sz w:val="22"/>
        </w:rPr>
        <w:t>Umístění samostatných bodových a liniových prvků dopravní infrastruktury převzatých      z ÚAP resp. navržených v ÚP je provedeno ve vztahu k plochám dopravní infrastruktury- drážní (D), plochám dopravní infrastruktury-silniční (M), plochám veřejných</w:t>
      </w:r>
      <w:r>
        <w:rPr>
          <w:spacing w:val="20"/>
          <w:sz w:val="22"/>
        </w:rPr>
        <w:t> </w:t>
      </w:r>
      <w:r>
        <w:rPr>
          <w:sz w:val="22"/>
        </w:rPr>
        <w:t>prostranství</w:t>
      </w:r>
    </w:p>
    <w:p>
      <w:pPr>
        <w:pStyle w:val="BodyText"/>
        <w:spacing w:line="252" w:lineRule="exact"/>
        <w:ind w:firstLine="0"/>
      </w:pPr>
      <w:r>
        <w:rPr/>
        <w:t>(P) a hranám parcel, jeho upřesnění bude předmětem dalších fází projektové přípravy.</w:t>
      </w:r>
    </w:p>
    <w:p>
      <w:pPr>
        <w:pStyle w:val="Heading2"/>
        <w:numPr>
          <w:ilvl w:val="2"/>
          <w:numId w:val="5"/>
        </w:numPr>
        <w:tabs>
          <w:tab w:pos="1024" w:val="left" w:leader="none"/>
          <w:tab w:pos="1026" w:val="left" w:leader="none"/>
        </w:tabs>
        <w:spacing w:line="240" w:lineRule="auto" w:before="180" w:after="0"/>
        <w:ind w:left="1025" w:right="0" w:hanging="853"/>
        <w:jc w:val="left"/>
      </w:pPr>
      <w:r>
        <w:rPr/>
        <w:t>ŽELEZNIČNÍ</w:t>
      </w:r>
      <w:r>
        <w:rPr>
          <w:spacing w:val="-2"/>
        </w:rPr>
        <w:t> </w:t>
      </w:r>
      <w:r>
        <w:rPr/>
        <w:t>DOPRAVA</w:t>
      </w:r>
    </w:p>
    <w:p>
      <w:pPr>
        <w:pStyle w:val="ListParagraph"/>
        <w:numPr>
          <w:ilvl w:val="0"/>
          <w:numId w:val="1"/>
        </w:numPr>
        <w:tabs>
          <w:tab w:pos="1024" w:val="left" w:leader="none"/>
          <w:tab w:pos="1025" w:val="left" w:leader="none"/>
        </w:tabs>
        <w:spacing w:line="240" w:lineRule="auto" w:before="117" w:after="0"/>
        <w:ind w:left="1025" w:right="0" w:hanging="853"/>
        <w:jc w:val="left"/>
        <w:rPr>
          <w:sz w:val="22"/>
        </w:rPr>
      </w:pPr>
      <w:r>
        <w:rPr>
          <w:sz w:val="22"/>
        </w:rPr>
        <w:t>Koridor železniční tratě </w:t>
      </w:r>
      <w:r>
        <w:rPr>
          <w:b/>
          <w:sz w:val="22"/>
        </w:rPr>
        <w:t>č. 089 Liberec – Hrádek nad Nisou – Rybniště </w:t>
      </w:r>
      <w:r>
        <w:rPr>
          <w:sz w:val="22"/>
        </w:rPr>
        <w:t>územně</w:t>
      </w:r>
      <w:r>
        <w:rPr>
          <w:spacing w:val="-27"/>
          <w:sz w:val="22"/>
        </w:rPr>
        <w:t> </w:t>
      </w:r>
      <w:r>
        <w:rPr>
          <w:sz w:val="22"/>
        </w:rPr>
        <w:t>rozvíjet,</w:t>
      </w:r>
    </w:p>
    <w:p>
      <w:pPr>
        <w:pStyle w:val="ListParagraph"/>
        <w:numPr>
          <w:ilvl w:val="0"/>
          <w:numId w:val="2"/>
        </w:numPr>
        <w:tabs>
          <w:tab w:pos="1024" w:val="left" w:leader="none"/>
          <w:tab w:pos="1025" w:val="left" w:leader="none"/>
        </w:tabs>
        <w:spacing w:line="240" w:lineRule="auto" w:before="64" w:after="0"/>
        <w:ind w:left="1024" w:right="149" w:hanging="852"/>
        <w:jc w:val="left"/>
        <w:rPr>
          <w:sz w:val="22"/>
        </w:rPr>
      </w:pPr>
      <w:r>
        <w:rPr>
          <w:sz w:val="22"/>
        </w:rPr>
        <w:t>zdvojkolejnění v rámci připraveného zemního tělesa, optimalizace, elektrizace bude mít územní dopad v rámci vymezeného koridoru</w:t>
      </w:r>
      <w:r>
        <w:rPr>
          <w:spacing w:val="-13"/>
          <w:sz w:val="22"/>
        </w:rPr>
        <w:t> </w:t>
      </w:r>
      <w:r>
        <w:rPr>
          <w:sz w:val="22"/>
        </w:rPr>
        <w:t>D28,</w:t>
      </w:r>
    </w:p>
    <w:p>
      <w:pPr>
        <w:pStyle w:val="ListParagraph"/>
        <w:numPr>
          <w:ilvl w:val="0"/>
          <w:numId w:val="2"/>
        </w:numPr>
        <w:tabs>
          <w:tab w:pos="1024" w:val="left" w:leader="none"/>
          <w:tab w:pos="1025" w:val="left" w:leader="none"/>
        </w:tabs>
        <w:spacing w:line="240" w:lineRule="auto" w:before="57" w:after="0"/>
        <w:ind w:left="1024" w:right="142" w:hanging="853"/>
        <w:jc w:val="left"/>
        <w:rPr>
          <w:sz w:val="22"/>
        </w:rPr>
      </w:pPr>
      <w:r>
        <w:rPr>
          <w:sz w:val="22"/>
        </w:rPr>
        <w:t>potenciálně počítat s využitím koridoru pro kombinovanou dopravu ve vazbě na železniční trati v</w:t>
      </w:r>
      <w:r>
        <w:rPr>
          <w:spacing w:val="-3"/>
          <w:sz w:val="22"/>
        </w:rPr>
        <w:t> </w:t>
      </w:r>
      <w:r>
        <w:rPr>
          <w:sz w:val="22"/>
        </w:rPr>
        <w:t>SRN,</w:t>
      </w:r>
    </w:p>
    <w:p>
      <w:pPr>
        <w:pStyle w:val="ListParagraph"/>
        <w:numPr>
          <w:ilvl w:val="0"/>
          <w:numId w:val="2"/>
        </w:numPr>
        <w:tabs>
          <w:tab w:pos="1024" w:val="left" w:leader="none"/>
          <w:tab w:pos="1025" w:val="left" w:leader="none"/>
        </w:tabs>
        <w:spacing w:line="240" w:lineRule="auto" w:before="60" w:after="0"/>
        <w:ind w:left="1024" w:right="146" w:hanging="853"/>
        <w:jc w:val="left"/>
        <w:rPr>
          <w:sz w:val="22"/>
        </w:rPr>
      </w:pPr>
      <w:r>
        <w:rPr>
          <w:sz w:val="22"/>
        </w:rPr>
        <w:t>stávající úrovňové železniční přejezdy omezovat, doplňovat mimoúrovňová křížení na hlavních silničních</w:t>
      </w:r>
      <w:r>
        <w:rPr>
          <w:spacing w:val="-1"/>
          <w:sz w:val="22"/>
        </w:rPr>
        <w:t> </w:t>
      </w:r>
      <w:r>
        <w:rPr>
          <w:sz w:val="22"/>
        </w:rPr>
        <w:t>koridorech.</w:t>
      </w:r>
    </w:p>
    <w:p>
      <w:pPr>
        <w:pStyle w:val="ListParagraph"/>
        <w:numPr>
          <w:ilvl w:val="0"/>
          <w:numId w:val="1"/>
        </w:numPr>
        <w:tabs>
          <w:tab w:pos="1024" w:val="left" w:leader="none"/>
          <w:tab w:pos="1025" w:val="left" w:leader="none"/>
        </w:tabs>
        <w:spacing w:line="244" w:lineRule="auto" w:before="117" w:after="0"/>
        <w:ind w:left="1025" w:right="147" w:hanging="853"/>
        <w:jc w:val="left"/>
        <w:rPr>
          <w:sz w:val="22"/>
        </w:rPr>
      </w:pPr>
      <w:r>
        <w:rPr>
          <w:sz w:val="22"/>
        </w:rPr>
        <w:t>Pro koridor železniční tratě </w:t>
      </w:r>
      <w:r>
        <w:rPr>
          <w:b/>
          <w:sz w:val="22"/>
        </w:rPr>
        <w:t>č. 086 Liberec – Česká Lípa </w:t>
      </w:r>
      <w:r>
        <w:rPr>
          <w:sz w:val="22"/>
        </w:rPr>
        <w:t>respektovat výhledový záměr ZÚR LK na přeložení železniční trati přes Bílý Kostel nad</w:t>
      </w:r>
      <w:r>
        <w:rPr>
          <w:spacing w:val="-13"/>
          <w:sz w:val="22"/>
        </w:rPr>
        <w:t> </w:t>
      </w:r>
      <w:r>
        <w:rPr>
          <w:sz w:val="22"/>
        </w:rPr>
        <w:t>Nisou,</w:t>
      </w:r>
    </w:p>
    <w:p>
      <w:pPr>
        <w:pStyle w:val="ListParagraph"/>
        <w:numPr>
          <w:ilvl w:val="0"/>
          <w:numId w:val="2"/>
        </w:numPr>
        <w:tabs>
          <w:tab w:pos="1024" w:val="left" w:leader="none"/>
          <w:tab w:pos="1025" w:val="left" w:leader="none"/>
        </w:tabs>
        <w:spacing w:line="240" w:lineRule="auto" w:before="53" w:after="0"/>
        <w:ind w:left="1025" w:right="0" w:hanging="853"/>
        <w:jc w:val="left"/>
        <w:rPr>
          <w:sz w:val="22"/>
        </w:rPr>
      </w:pPr>
      <w:r>
        <w:rPr>
          <w:sz w:val="22"/>
        </w:rPr>
        <w:t>elektrifikace a optimalizace bude řešena v v rámci vymezeného koridoru</w:t>
      </w:r>
      <w:r>
        <w:rPr>
          <w:spacing w:val="-18"/>
          <w:sz w:val="22"/>
        </w:rPr>
        <w:t> </w:t>
      </w:r>
      <w:r>
        <w:rPr>
          <w:sz w:val="22"/>
        </w:rPr>
        <w:t>D28.</w:t>
      </w:r>
    </w:p>
    <w:p>
      <w:pPr>
        <w:pStyle w:val="ListParagraph"/>
        <w:numPr>
          <w:ilvl w:val="0"/>
          <w:numId w:val="1"/>
        </w:numPr>
        <w:tabs>
          <w:tab w:pos="1024" w:val="left" w:leader="none"/>
          <w:tab w:pos="1026" w:val="left" w:leader="none"/>
        </w:tabs>
        <w:spacing w:line="244" w:lineRule="auto" w:before="115" w:after="0"/>
        <w:ind w:left="1025" w:right="146" w:hanging="852"/>
        <w:jc w:val="both"/>
        <w:rPr>
          <w:sz w:val="22"/>
        </w:rPr>
      </w:pPr>
      <w:r>
        <w:rPr>
          <w:sz w:val="22"/>
        </w:rPr>
        <w:t>Na </w:t>
      </w:r>
      <w:r>
        <w:rPr>
          <w:b/>
          <w:sz w:val="22"/>
        </w:rPr>
        <w:t>nádraží ČD </w:t>
      </w:r>
      <w:r>
        <w:rPr>
          <w:sz w:val="22"/>
        </w:rPr>
        <w:t>realizovat opatření v železniční dopravě na stávajících plochách, které jsou dostatečně dimenzované pro umístění přestupního</w:t>
      </w:r>
      <w:r>
        <w:rPr>
          <w:spacing w:val="-6"/>
          <w:sz w:val="22"/>
        </w:rPr>
        <w:t> </w:t>
      </w:r>
      <w:r>
        <w:rPr>
          <w:sz w:val="22"/>
        </w:rPr>
        <w:t>uzlu,</w:t>
      </w:r>
    </w:p>
    <w:p>
      <w:pPr>
        <w:pStyle w:val="ListParagraph"/>
        <w:numPr>
          <w:ilvl w:val="0"/>
          <w:numId w:val="2"/>
        </w:numPr>
        <w:tabs>
          <w:tab w:pos="1024" w:val="left" w:leader="none"/>
          <w:tab w:pos="1025" w:val="left" w:leader="none"/>
        </w:tabs>
        <w:spacing w:line="240" w:lineRule="auto" w:before="51" w:after="0"/>
        <w:ind w:left="1024" w:right="145" w:hanging="852"/>
        <w:jc w:val="both"/>
        <w:rPr>
          <w:sz w:val="22"/>
        </w:rPr>
      </w:pPr>
      <w:r>
        <w:rPr>
          <w:sz w:val="22"/>
        </w:rPr>
        <w:t>postupnou reorganizací </w:t>
      </w:r>
      <w:r>
        <w:rPr>
          <w:b/>
          <w:sz w:val="22"/>
        </w:rPr>
        <w:t>nákladové dopravy </w:t>
      </w:r>
      <w:r>
        <w:rPr>
          <w:sz w:val="22"/>
        </w:rPr>
        <w:t>vytvářet podmínky pro zhodnocení centrálních ploch nádraží ČD nedopravními funkcemi, které by výhledově měly zajistit přirozené propojení přednádražní a zanádražní části</w:t>
      </w:r>
      <w:r>
        <w:rPr>
          <w:spacing w:val="-14"/>
          <w:sz w:val="22"/>
        </w:rPr>
        <w:t> </w:t>
      </w:r>
      <w:r>
        <w:rPr>
          <w:sz w:val="22"/>
        </w:rPr>
        <w:t>města,</w:t>
      </w:r>
    </w:p>
    <w:p>
      <w:pPr>
        <w:pStyle w:val="ListParagraph"/>
        <w:numPr>
          <w:ilvl w:val="0"/>
          <w:numId w:val="2"/>
        </w:numPr>
        <w:tabs>
          <w:tab w:pos="1024" w:val="left" w:leader="none"/>
          <w:tab w:pos="1025" w:val="left" w:leader="none"/>
        </w:tabs>
        <w:spacing w:line="242" w:lineRule="auto" w:before="58" w:after="0"/>
        <w:ind w:left="1025" w:right="146" w:hanging="853"/>
        <w:jc w:val="both"/>
        <w:rPr>
          <w:sz w:val="22"/>
        </w:rPr>
      </w:pPr>
      <w:r>
        <w:rPr>
          <w:sz w:val="22"/>
        </w:rPr>
        <w:t>v </w:t>
      </w:r>
      <w:r>
        <w:rPr>
          <w:b/>
          <w:sz w:val="22"/>
        </w:rPr>
        <w:t>přednádražním prostoru </w:t>
      </w:r>
      <w:r>
        <w:rPr>
          <w:sz w:val="22"/>
        </w:rPr>
        <w:t>doplnit bezbariérové návaznosti pěších a cyklistických tras a veřejné dopravy osob, zatraktivnit Nádražní ulici jako nástup do</w:t>
      </w:r>
      <w:r>
        <w:rPr>
          <w:spacing w:val="-15"/>
          <w:sz w:val="22"/>
        </w:rPr>
        <w:t> </w:t>
      </w:r>
      <w:r>
        <w:rPr>
          <w:sz w:val="22"/>
        </w:rPr>
        <w:t>města,</w:t>
      </w:r>
    </w:p>
    <w:p>
      <w:pPr>
        <w:pStyle w:val="ListParagraph"/>
        <w:numPr>
          <w:ilvl w:val="0"/>
          <w:numId w:val="2"/>
        </w:numPr>
        <w:tabs>
          <w:tab w:pos="1024" w:val="left" w:leader="none"/>
          <w:tab w:pos="1026" w:val="left" w:leader="none"/>
        </w:tabs>
        <w:spacing w:line="240" w:lineRule="auto" w:before="55" w:after="0"/>
        <w:ind w:left="1025" w:right="0" w:hanging="854"/>
        <w:jc w:val="both"/>
        <w:rPr>
          <w:b/>
          <w:sz w:val="22"/>
        </w:rPr>
      </w:pPr>
      <w:r>
        <w:rPr>
          <w:sz w:val="22"/>
        </w:rPr>
        <w:t>zachovat stávající </w:t>
      </w:r>
      <w:r>
        <w:rPr>
          <w:b/>
          <w:sz w:val="22"/>
        </w:rPr>
        <w:t>vlečky,</w:t>
      </w:r>
    </w:p>
    <w:p>
      <w:pPr>
        <w:pStyle w:val="ListParagraph"/>
        <w:numPr>
          <w:ilvl w:val="0"/>
          <w:numId w:val="2"/>
        </w:numPr>
        <w:tabs>
          <w:tab w:pos="1024" w:val="left" w:leader="none"/>
          <w:tab w:pos="1025" w:val="left" w:leader="none"/>
        </w:tabs>
        <w:spacing w:line="240" w:lineRule="auto" w:before="62" w:after="0"/>
        <w:ind w:left="1025" w:right="146" w:hanging="853"/>
        <w:jc w:val="both"/>
        <w:rPr>
          <w:sz w:val="22"/>
        </w:rPr>
      </w:pPr>
      <w:r>
        <w:rPr>
          <w:sz w:val="22"/>
        </w:rPr>
        <w:t>opatření v železniční dopravě budou zaměřit na racionalizaci a vyšší efektivnost provozu s rozšířením</w:t>
      </w:r>
      <w:r>
        <w:rPr>
          <w:spacing w:val="1"/>
          <w:sz w:val="22"/>
        </w:rPr>
        <w:t> </w:t>
      </w:r>
      <w:r>
        <w:rPr>
          <w:sz w:val="22"/>
        </w:rPr>
        <w:t>služeb</w:t>
      </w:r>
    </w:p>
    <w:p>
      <w:pPr>
        <w:pStyle w:val="ListParagraph"/>
        <w:numPr>
          <w:ilvl w:val="0"/>
          <w:numId w:val="1"/>
        </w:numPr>
        <w:tabs>
          <w:tab w:pos="1024" w:val="left" w:leader="none"/>
          <w:tab w:pos="1026" w:val="left" w:leader="none"/>
        </w:tabs>
        <w:spacing w:line="240" w:lineRule="auto" w:before="117" w:after="0"/>
        <w:ind w:left="1025" w:right="144" w:hanging="853"/>
        <w:jc w:val="both"/>
        <w:rPr>
          <w:sz w:val="22"/>
        </w:rPr>
      </w:pPr>
      <w:r>
        <w:rPr>
          <w:sz w:val="22"/>
        </w:rPr>
        <w:t>V ochranném pásmu dráhy realizovat výstavbu objektů trvalého bydlení pouze omezeně  s ohledem na negativní vlivy (hluk, vibrace) způsobené provozem železniční dopravy (plochy 82.A, 132.A, 136.B, 137.B,</w:t>
      </w:r>
      <w:r>
        <w:rPr>
          <w:spacing w:val="-1"/>
          <w:sz w:val="22"/>
        </w:rPr>
        <w:t> </w:t>
      </w:r>
      <w:r>
        <w:rPr>
          <w:sz w:val="22"/>
        </w:rPr>
        <w:t>139.B)</w:t>
      </w:r>
    </w:p>
    <w:p>
      <w:pPr>
        <w:pStyle w:val="ListParagraph"/>
        <w:numPr>
          <w:ilvl w:val="0"/>
          <w:numId w:val="2"/>
        </w:numPr>
        <w:tabs>
          <w:tab w:pos="1024" w:val="left" w:leader="none"/>
          <w:tab w:pos="1026" w:val="left" w:leader="none"/>
        </w:tabs>
        <w:spacing w:line="240" w:lineRule="auto" w:before="62" w:after="0"/>
        <w:ind w:left="1025" w:right="146" w:hanging="852"/>
        <w:jc w:val="both"/>
        <w:rPr>
          <w:sz w:val="22"/>
        </w:rPr>
      </w:pPr>
      <w:r>
        <w:rPr>
          <w:sz w:val="22"/>
        </w:rPr>
        <w:t>přitom musí být zajištěna bezpečnost železničního provozu, provozuschopnost všech drážních zařízení a nesmí dojít ke ztížení jejich údržby a rekonstrukce včetně přístupu k nim.</w:t>
      </w:r>
    </w:p>
    <w:p>
      <w:pPr>
        <w:pStyle w:val="Heading2"/>
        <w:numPr>
          <w:ilvl w:val="2"/>
          <w:numId w:val="5"/>
        </w:numPr>
        <w:tabs>
          <w:tab w:pos="1026" w:val="left" w:leader="none"/>
        </w:tabs>
        <w:spacing w:line="240" w:lineRule="auto" w:before="177" w:after="0"/>
        <w:ind w:left="1025" w:right="0" w:hanging="853"/>
        <w:jc w:val="both"/>
      </w:pPr>
      <w:r>
        <w:rPr/>
        <w:t>SILNIČNÍ</w:t>
      </w:r>
      <w:r>
        <w:rPr>
          <w:spacing w:val="-6"/>
        </w:rPr>
        <w:t> </w:t>
      </w:r>
      <w:r>
        <w:rPr/>
        <w:t>DOPRAVA</w:t>
      </w:r>
    </w:p>
    <w:p>
      <w:pPr>
        <w:pStyle w:val="ListParagraph"/>
        <w:numPr>
          <w:ilvl w:val="0"/>
          <w:numId w:val="1"/>
        </w:numPr>
        <w:tabs>
          <w:tab w:pos="1024" w:val="left" w:leader="none"/>
          <w:tab w:pos="1026" w:val="left" w:leader="none"/>
        </w:tabs>
        <w:spacing w:line="240" w:lineRule="auto" w:before="118" w:after="0"/>
        <w:ind w:left="1025" w:right="148" w:hanging="853"/>
        <w:jc w:val="both"/>
        <w:rPr>
          <w:sz w:val="22"/>
        </w:rPr>
      </w:pPr>
      <w:r>
        <w:rPr>
          <w:sz w:val="22"/>
        </w:rPr>
        <w:t>Obecně při umisťování staveb v blízkosti silnic II. a III. třídy respektovat </w:t>
      </w:r>
      <w:r>
        <w:rPr>
          <w:b/>
          <w:sz w:val="22"/>
        </w:rPr>
        <w:t>Normovou kategorizaci </w:t>
      </w:r>
      <w:r>
        <w:rPr>
          <w:sz w:val="22"/>
        </w:rPr>
        <w:t>krajských silnic II. a III.</w:t>
      </w:r>
      <w:r>
        <w:rPr>
          <w:spacing w:val="-8"/>
          <w:sz w:val="22"/>
        </w:rPr>
        <w:t> </w:t>
      </w:r>
      <w:r>
        <w:rPr>
          <w:sz w:val="22"/>
        </w:rPr>
        <w:t>třídy,</w:t>
      </w:r>
    </w:p>
    <w:p>
      <w:pPr>
        <w:pStyle w:val="ListParagraph"/>
        <w:numPr>
          <w:ilvl w:val="0"/>
          <w:numId w:val="2"/>
        </w:numPr>
        <w:tabs>
          <w:tab w:pos="1024" w:val="left" w:leader="none"/>
          <w:tab w:pos="1026" w:val="left" w:leader="none"/>
        </w:tabs>
        <w:spacing w:line="240" w:lineRule="auto" w:before="63" w:after="0"/>
        <w:ind w:left="1025" w:right="146" w:hanging="853"/>
        <w:jc w:val="both"/>
        <w:rPr>
          <w:sz w:val="22"/>
        </w:rPr>
      </w:pPr>
      <w:r>
        <w:rPr>
          <w:sz w:val="22"/>
        </w:rPr>
        <w:t>u hlavních silničních tahů navíc podle příslušné kategorie respektovat prostor pro umístění potenciálních komunikací pro bezmotorovou</w:t>
      </w:r>
      <w:r>
        <w:rPr>
          <w:spacing w:val="-9"/>
          <w:sz w:val="22"/>
        </w:rPr>
        <w:t> </w:t>
      </w:r>
      <w:r>
        <w:rPr>
          <w:sz w:val="22"/>
        </w:rPr>
        <w:t>dopravu,</w:t>
      </w:r>
    </w:p>
    <w:p>
      <w:pPr>
        <w:pStyle w:val="ListParagraph"/>
        <w:numPr>
          <w:ilvl w:val="0"/>
          <w:numId w:val="2"/>
        </w:numPr>
        <w:tabs>
          <w:tab w:pos="1024" w:val="left" w:leader="none"/>
          <w:tab w:pos="1026" w:val="left" w:leader="none"/>
        </w:tabs>
        <w:spacing w:line="240" w:lineRule="auto" w:before="59" w:after="0"/>
        <w:ind w:left="1025" w:right="145" w:hanging="853"/>
        <w:jc w:val="both"/>
        <w:rPr>
          <w:sz w:val="22"/>
        </w:rPr>
      </w:pPr>
      <w:r>
        <w:rPr>
          <w:sz w:val="22"/>
        </w:rPr>
        <w:t>u všech pozemních komunikací včetně pro bezmotorovou dopravu respektovat stávající uliční aleje a podle místních podmínek i prostor pro umístění nové doprovodné</w:t>
      </w:r>
      <w:r>
        <w:rPr>
          <w:spacing w:val="-29"/>
          <w:sz w:val="22"/>
        </w:rPr>
        <w:t> </w:t>
      </w:r>
      <w:r>
        <w:rPr>
          <w:sz w:val="22"/>
        </w:rPr>
        <w:t>zeleně.</w:t>
      </w:r>
    </w:p>
    <w:p>
      <w:pPr>
        <w:pStyle w:val="ListParagraph"/>
        <w:numPr>
          <w:ilvl w:val="0"/>
          <w:numId w:val="1"/>
        </w:numPr>
        <w:tabs>
          <w:tab w:pos="1024" w:val="left" w:leader="none"/>
          <w:tab w:pos="1026" w:val="left" w:leader="none"/>
        </w:tabs>
        <w:spacing w:line="240" w:lineRule="auto" w:before="120" w:after="0"/>
        <w:ind w:left="1025" w:right="144" w:hanging="853"/>
        <w:jc w:val="both"/>
        <w:rPr>
          <w:sz w:val="22"/>
        </w:rPr>
      </w:pPr>
      <w:r>
        <w:rPr>
          <w:sz w:val="22"/>
        </w:rPr>
        <w:t>Možnost dosažení stanovené návrhové kategorie komunikací základní dopravní kostry tvořených plochami dopravní infrastruktury-silniční (M) zajišťovat regulativem uvedeným   v kapitole „F.3.2 Omezení využívání ploch stanovená v</w:t>
      </w:r>
      <w:r>
        <w:rPr>
          <w:spacing w:val="-13"/>
          <w:sz w:val="22"/>
        </w:rPr>
        <w:t> </w:t>
      </w:r>
      <w:r>
        <w:rPr>
          <w:sz w:val="22"/>
        </w:rPr>
        <w:t>ÚP“.</w:t>
      </w:r>
    </w:p>
    <w:p>
      <w:pPr>
        <w:spacing w:after="0" w:line="240" w:lineRule="auto"/>
        <w:jc w:val="both"/>
        <w:rPr>
          <w:sz w:val="22"/>
        </w:rPr>
        <w:sectPr>
          <w:headerReference w:type="default" r:id="rId13"/>
          <w:footerReference w:type="default" r:id="rId14"/>
          <w:pgSz w:w="11900" w:h="16840"/>
          <w:pgMar w:header="557" w:footer="582" w:top="760" w:bottom="780" w:left="960" w:right="980"/>
          <w:pgNumType w:start="20"/>
        </w:sectPr>
      </w:pPr>
    </w:p>
    <w:p>
      <w:pPr>
        <w:pStyle w:val="BodyText"/>
        <w:spacing w:before="3"/>
        <w:ind w:left="0" w:firstLine="0"/>
        <w:jc w:val="left"/>
      </w:pPr>
    </w:p>
    <w:p>
      <w:pPr>
        <w:pStyle w:val="ListParagraph"/>
        <w:numPr>
          <w:ilvl w:val="0"/>
          <w:numId w:val="1"/>
        </w:numPr>
        <w:tabs>
          <w:tab w:pos="1024" w:val="left" w:leader="none"/>
          <w:tab w:pos="1025" w:val="left" w:leader="none"/>
        </w:tabs>
        <w:spacing w:line="240" w:lineRule="auto" w:before="101" w:after="0"/>
        <w:ind w:left="1024" w:right="144" w:hanging="852"/>
        <w:jc w:val="both"/>
        <w:rPr>
          <w:sz w:val="22"/>
        </w:rPr>
      </w:pPr>
      <w:r>
        <w:rPr>
          <w:sz w:val="22"/>
        </w:rPr>
        <w:t>S ohledem na budoucí upřesnění umístění a rozsahu prvků silniční dopravní infrastruktury je využití navazujících zastavitelných ploch a ploch přestavby upřesněno na základě podmínek pro využití ploch uvedených v tabulkách kapitoly „C.2 Návrh zastavitelných ploch, ploch přestavby a nezastavitelných ploch“ návrhu</w:t>
      </w:r>
      <w:r>
        <w:rPr>
          <w:spacing w:val="-6"/>
          <w:sz w:val="22"/>
        </w:rPr>
        <w:t> </w:t>
      </w:r>
      <w:r>
        <w:rPr>
          <w:sz w:val="22"/>
        </w:rPr>
        <w:t>ÚP:</w:t>
      </w:r>
    </w:p>
    <w:p>
      <w:pPr>
        <w:pStyle w:val="ListParagraph"/>
        <w:numPr>
          <w:ilvl w:val="0"/>
          <w:numId w:val="2"/>
        </w:numPr>
        <w:tabs>
          <w:tab w:pos="1024" w:val="left" w:leader="none"/>
          <w:tab w:pos="1025" w:val="left" w:leader="none"/>
        </w:tabs>
        <w:spacing w:line="242" w:lineRule="auto" w:before="59" w:after="0"/>
        <w:ind w:left="1024" w:right="148" w:hanging="852"/>
        <w:jc w:val="both"/>
        <w:rPr>
          <w:sz w:val="22"/>
        </w:rPr>
      </w:pPr>
      <w:r>
        <w:rPr>
          <w:sz w:val="22"/>
        </w:rPr>
        <w:t>„</w:t>
      </w:r>
      <w:r>
        <w:rPr>
          <w:b/>
          <w:sz w:val="22"/>
        </w:rPr>
        <w:t>OK </w:t>
      </w:r>
      <w:r>
        <w:rPr>
          <w:sz w:val="22"/>
        </w:rPr>
        <w:t>- v dalších stupních projektové přípravy prokázat možnost umístění přilehlých navržených</w:t>
      </w:r>
      <w:r>
        <w:rPr>
          <w:spacing w:val="-1"/>
          <w:sz w:val="22"/>
        </w:rPr>
        <w:t> </w:t>
      </w:r>
      <w:r>
        <w:rPr>
          <w:sz w:val="22"/>
        </w:rPr>
        <w:t>komunikací“.</w:t>
      </w:r>
    </w:p>
    <w:p>
      <w:pPr>
        <w:pStyle w:val="Heading3"/>
        <w:spacing w:before="114"/>
      </w:pPr>
      <w:r>
        <w:rPr/>
        <w:t>SILNICE I. TŘÍDY</w:t>
      </w:r>
    </w:p>
    <w:p>
      <w:pPr>
        <w:pStyle w:val="ListParagraph"/>
        <w:numPr>
          <w:ilvl w:val="0"/>
          <w:numId w:val="1"/>
        </w:numPr>
        <w:tabs>
          <w:tab w:pos="1024" w:val="left" w:leader="none"/>
          <w:tab w:pos="1025" w:val="left" w:leader="none"/>
        </w:tabs>
        <w:spacing w:line="244" w:lineRule="auto" w:before="119" w:after="0"/>
        <w:ind w:left="1024" w:right="146" w:hanging="853"/>
        <w:jc w:val="both"/>
        <w:rPr>
          <w:sz w:val="22"/>
        </w:rPr>
      </w:pPr>
      <w:r>
        <w:rPr>
          <w:sz w:val="22"/>
        </w:rPr>
        <w:t>Respektovat stabilizovanou trasu silnice I. třídy - </w:t>
      </w:r>
      <w:r>
        <w:rPr>
          <w:b/>
          <w:sz w:val="22"/>
        </w:rPr>
        <w:t>peáž I/35+I/13 </w:t>
      </w:r>
      <w:r>
        <w:rPr>
          <w:sz w:val="22"/>
        </w:rPr>
        <w:t>v kategorii S22,5/80 procházející napříč územím města</w:t>
      </w:r>
      <w:r>
        <w:rPr>
          <w:spacing w:val="-2"/>
          <w:sz w:val="22"/>
        </w:rPr>
        <w:t> </w:t>
      </w:r>
      <w:r>
        <w:rPr>
          <w:sz w:val="22"/>
        </w:rPr>
        <w:t>Chrastava.</w:t>
      </w:r>
    </w:p>
    <w:p>
      <w:pPr>
        <w:pStyle w:val="Heading3"/>
        <w:spacing w:before="111"/>
      </w:pPr>
      <w:r>
        <w:rPr/>
        <w:t>SILNICE II. A III.TŘÍDY</w:t>
      </w:r>
    </w:p>
    <w:p>
      <w:pPr>
        <w:pStyle w:val="ListParagraph"/>
        <w:numPr>
          <w:ilvl w:val="0"/>
          <w:numId w:val="1"/>
        </w:numPr>
        <w:tabs>
          <w:tab w:pos="1024" w:val="left" w:leader="none"/>
          <w:tab w:pos="1025" w:val="left" w:leader="none"/>
        </w:tabs>
        <w:spacing w:line="240" w:lineRule="auto" w:before="123" w:after="0"/>
        <w:ind w:left="1024" w:right="0" w:hanging="853"/>
        <w:jc w:val="both"/>
        <w:rPr>
          <w:sz w:val="22"/>
        </w:rPr>
      </w:pPr>
      <w:r>
        <w:rPr>
          <w:sz w:val="22"/>
        </w:rPr>
        <w:t>Ve stávající síti silnic II. a III. třídy budou provedeny tyto hlavní změny a</w:t>
      </w:r>
      <w:r>
        <w:rPr>
          <w:spacing w:val="-25"/>
          <w:sz w:val="22"/>
        </w:rPr>
        <w:t> </w:t>
      </w:r>
      <w:r>
        <w:rPr>
          <w:sz w:val="22"/>
        </w:rPr>
        <w:t>úpravy:</w:t>
      </w:r>
    </w:p>
    <w:p>
      <w:pPr>
        <w:pStyle w:val="ListParagraph"/>
        <w:numPr>
          <w:ilvl w:val="0"/>
          <w:numId w:val="2"/>
        </w:numPr>
        <w:tabs>
          <w:tab w:pos="1024" w:val="left" w:leader="none"/>
          <w:tab w:pos="1025" w:val="left" w:leader="none"/>
        </w:tabs>
        <w:spacing w:line="240" w:lineRule="auto" w:before="59" w:after="0"/>
        <w:ind w:left="1024" w:right="146" w:hanging="853"/>
        <w:jc w:val="both"/>
        <w:rPr>
          <w:sz w:val="22"/>
        </w:rPr>
      </w:pPr>
      <w:r>
        <w:rPr>
          <w:sz w:val="22"/>
        </w:rPr>
        <w:t>realizovat přeložku silnice III/27250 z náměstí 1. máje východním směrem a dokompletování ochranného okruhu centra jednosměrným zprůjezdněním Revoluční a Bezručovy ulice po jeho jihozápadním</w:t>
      </w:r>
      <w:r>
        <w:rPr>
          <w:spacing w:val="-3"/>
          <w:sz w:val="22"/>
        </w:rPr>
        <w:t> </w:t>
      </w:r>
      <w:r>
        <w:rPr>
          <w:sz w:val="22"/>
        </w:rPr>
        <w:t>okraji,</w:t>
      </w:r>
    </w:p>
    <w:p>
      <w:pPr>
        <w:pStyle w:val="ListParagraph"/>
        <w:numPr>
          <w:ilvl w:val="0"/>
          <w:numId w:val="2"/>
        </w:numPr>
        <w:tabs>
          <w:tab w:pos="1024" w:val="left" w:leader="none"/>
          <w:tab w:pos="1025" w:val="left" w:leader="none"/>
        </w:tabs>
        <w:spacing w:line="240" w:lineRule="auto" w:before="59" w:after="0"/>
        <w:ind w:left="1024" w:right="146" w:hanging="852"/>
        <w:jc w:val="left"/>
        <w:rPr>
          <w:sz w:val="22"/>
        </w:rPr>
      </w:pPr>
      <w:r>
        <w:rPr>
          <w:sz w:val="22"/>
        </w:rPr>
        <w:t>postupně odstraňovat lokální závady spočívající v nedostatečných šířkových a směrových poměrech.</w:t>
      </w:r>
    </w:p>
    <w:p>
      <w:pPr>
        <w:pStyle w:val="ListParagraph"/>
        <w:numPr>
          <w:ilvl w:val="0"/>
          <w:numId w:val="1"/>
        </w:numPr>
        <w:tabs>
          <w:tab w:pos="1024" w:val="left" w:leader="none"/>
          <w:tab w:pos="1025" w:val="left" w:leader="none"/>
        </w:tabs>
        <w:spacing w:line="240" w:lineRule="auto" w:before="119" w:after="0"/>
        <w:ind w:left="1024" w:right="148" w:hanging="852"/>
        <w:jc w:val="left"/>
        <w:rPr>
          <w:sz w:val="22"/>
        </w:rPr>
      </w:pPr>
      <w:r>
        <w:rPr>
          <w:sz w:val="22"/>
        </w:rPr>
        <w:t>Trasy silnic II/592, III/27250, III/27251, III/27252 stavebně upravovat ve vazbě na stanovené návrhové</w:t>
      </w:r>
      <w:r>
        <w:rPr>
          <w:spacing w:val="-1"/>
          <w:sz w:val="22"/>
        </w:rPr>
        <w:t> </w:t>
      </w:r>
      <w:r>
        <w:rPr>
          <w:sz w:val="22"/>
        </w:rPr>
        <w:t>kategorie:</w:t>
      </w:r>
    </w:p>
    <w:p>
      <w:pPr>
        <w:pStyle w:val="ListParagraph"/>
        <w:numPr>
          <w:ilvl w:val="0"/>
          <w:numId w:val="2"/>
        </w:numPr>
        <w:tabs>
          <w:tab w:pos="1024" w:val="left" w:leader="none"/>
          <w:tab w:pos="1025" w:val="left" w:leader="none"/>
          <w:tab w:pos="2440" w:val="left" w:leader="none"/>
          <w:tab w:pos="5275" w:val="left" w:leader="none"/>
        </w:tabs>
        <w:spacing w:line="240" w:lineRule="auto" w:before="61" w:after="0"/>
        <w:ind w:left="1024" w:right="0" w:hanging="853"/>
        <w:jc w:val="left"/>
        <w:rPr>
          <w:sz w:val="22"/>
        </w:rPr>
      </w:pPr>
      <w:r>
        <w:rPr/>
        <w:pict>
          <v:rect style="position:absolute;margin-left:99.239998pt;margin-top:14.567293pt;width:313.439993pt;height:.84pt;mso-position-horizontal-relative:page;mso-position-vertical-relative:paragraph;z-index:15735296" filled="true" fillcolor="#000000" stroked="false">
            <v:fill type="solid"/>
            <w10:wrap type="none"/>
          </v:rect>
        </w:pict>
      </w:r>
      <w:r>
        <w:rPr>
          <w:sz w:val="22"/>
        </w:rPr>
        <w:t>trasa</w:t>
        <w:tab/>
        <w:t>mimo</w:t>
      </w:r>
      <w:r>
        <w:rPr>
          <w:spacing w:val="-3"/>
          <w:sz w:val="22"/>
        </w:rPr>
        <w:t> </w:t>
      </w:r>
      <w:r>
        <w:rPr>
          <w:sz w:val="22"/>
        </w:rPr>
        <w:t>zastavěné</w:t>
      </w:r>
      <w:r>
        <w:rPr>
          <w:spacing w:val="-2"/>
          <w:sz w:val="22"/>
        </w:rPr>
        <w:t> </w:t>
      </w:r>
      <w:r>
        <w:rPr>
          <w:sz w:val="22"/>
        </w:rPr>
        <w:t>území</w:t>
        <w:tab/>
        <w:t>v zastavěném území</w:t>
      </w:r>
    </w:p>
    <w:p>
      <w:pPr>
        <w:pStyle w:val="BodyText"/>
        <w:tabs>
          <w:tab w:pos="1024" w:val="left" w:leader="none"/>
          <w:tab w:pos="2440" w:val="left" w:leader="none"/>
          <w:tab w:pos="5275" w:val="left" w:leader="none"/>
        </w:tabs>
        <w:spacing w:before="58"/>
        <w:ind w:left="172" w:firstLine="0"/>
        <w:jc w:val="left"/>
      </w:pPr>
      <w:r>
        <w:rPr>
          <w:rFonts w:ascii="Times New Roman"/>
        </w:rPr>
        <w:t>-</w:t>
        <w:tab/>
      </w:r>
      <w:r>
        <w:rPr/>
        <w:t>II/592</w:t>
        <w:tab/>
        <w:t>S7,5/60</w:t>
        <w:tab/>
        <w:t>MS2</w:t>
      </w:r>
      <w:r>
        <w:rPr>
          <w:spacing w:val="-1"/>
        </w:rPr>
        <w:t> </w:t>
      </w:r>
      <w:r>
        <w:rPr/>
        <w:t>10/7/50</w:t>
      </w:r>
    </w:p>
    <w:p>
      <w:pPr>
        <w:pStyle w:val="BodyText"/>
        <w:tabs>
          <w:tab w:pos="1024" w:val="left" w:leader="none"/>
          <w:tab w:pos="2440" w:val="left" w:leader="none"/>
          <w:tab w:pos="5275" w:val="left" w:leader="none"/>
        </w:tabs>
        <w:spacing w:before="60"/>
        <w:ind w:left="172" w:firstLine="0"/>
        <w:jc w:val="left"/>
      </w:pPr>
      <w:r>
        <w:rPr>
          <w:rFonts w:ascii="Times New Roman"/>
        </w:rPr>
        <w:t>-</w:t>
        <w:tab/>
      </w:r>
      <w:r>
        <w:rPr/>
        <w:t>III/27250</w:t>
        <w:tab/>
        <w:t>S7,5/60</w:t>
        <w:tab/>
        <w:t>MS2</w:t>
      </w:r>
      <w:r>
        <w:rPr>
          <w:spacing w:val="-1"/>
        </w:rPr>
        <w:t> </w:t>
      </w:r>
      <w:r>
        <w:rPr/>
        <w:t>9/7/50</w:t>
      </w:r>
    </w:p>
    <w:p>
      <w:pPr>
        <w:pStyle w:val="BodyText"/>
        <w:tabs>
          <w:tab w:pos="1024" w:val="left" w:leader="none"/>
          <w:tab w:pos="2440" w:val="left" w:leader="none"/>
          <w:tab w:pos="5275" w:val="left" w:leader="none"/>
        </w:tabs>
        <w:spacing w:before="58"/>
        <w:ind w:left="172" w:firstLine="0"/>
        <w:jc w:val="left"/>
      </w:pPr>
      <w:r>
        <w:rPr>
          <w:rFonts w:ascii="Times New Roman"/>
        </w:rPr>
        <w:t>-</w:t>
        <w:tab/>
      </w:r>
      <w:r>
        <w:rPr/>
        <w:t>III/27251</w:t>
        <w:tab/>
        <w:t>S7,5/60</w:t>
        <w:tab/>
        <w:t>MS2</w:t>
      </w:r>
      <w:r>
        <w:rPr>
          <w:spacing w:val="-1"/>
        </w:rPr>
        <w:t> </w:t>
      </w:r>
      <w:r>
        <w:rPr/>
        <w:t>8,5/7/50</w:t>
      </w:r>
    </w:p>
    <w:p>
      <w:pPr>
        <w:pStyle w:val="BodyText"/>
        <w:tabs>
          <w:tab w:pos="1024" w:val="left" w:leader="none"/>
          <w:tab w:pos="2440" w:val="left" w:leader="none"/>
          <w:tab w:pos="5275" w:val="left" w:leader="none"/>
        </w:tabs>
        <w:spacing w:before="59"/>
        <w:ind w:left="172" w:firstLine="0"/>
        <w:jc w:val="left"/>
      </w:pPr>
      <w:r>
        <w:rPr>
          <w:rFonts w:ascii="Times New Roman"/>
        </w:rPr>
        <w:t>-</w:t>
        <w:tab/>
      </w:r>
      <w:r>
        <w:rPr/>
        <w:t>III/27252</w:t>
        <w:tab/>
        <w:t>S7,5/60</w:t>
        <w:tab/>
        <w:t>-</w:t>
      </w:r>
    </w:p>
    <w:p>
      <w:pPr>
        <w:pStyle w:val="Heading3"/>
        <w:spacing w:before="118"/>
      </w:pPr>
      <w:r>
        <w:rPr/>
        <w:t>SBĚRNÉ KOMUNIKACE</w:t>
      </w:r>
    </w:p>
    <w:p>
      <w:pPr>
        <w:pStyle w:val="ListParagraph"/>
        <w:numPr>
          <w:ilvl w:val="0"/>
          <w:numId w:val="1"/>
        </w:numPr>
        <w:tabs>
          <w:tab w:pos="1024" w:val="left" w:leader="none"/>
          <w:tab w:pos="1025" w:val="left" w:leader="none"/>
        </w:tabs>
        <w:spacing w:line="242" w:lineRule="auto" w:before="119" w:after="0"/>
        <w:ind w:left="1024" w:right="148" w:hanging="853"/>
        <w:jc w:val="both"/>
        <w:rPr>
          <w:sz w:val="22"/>
        </w:rPr>
      </w:pPr>
      <w:r>
        <w:rPr>
          <w:sz w:val="22"/>
        </w:rPr>
        <w:t>Provést </w:t>
      </w:r>
      <w:r>
        <w:rPr>
          <w:b/>
          <w:sz w:val="22"/>
        </w:rPr>
        <w:t>celkovou reorganizaci </w:t>
      </w:r>
      <w:r>
        <w:rPr>
          <w:sz w:val="22"/>
        </w:rPr>
        <w:t>kostry sběrných komunikací k ochraně centrální zóny, obytných území a atraktivních uličních prostorů před zbytnou průjezdnou dopravou a ke zlepšení dopravního propojení stávajících i rozvojových částí</w:t>
      </w:r>
      <w:r>
        <w:rPr>
          <w:spacing w:val="-13"/>
          <w:sz w:val="22"/>
        </w:rPr>
        <w:t> </w:t>
      </w:r>
      <w:r>
        <w:rPr>
          <w:sz w:val="22"/>
        </w:rPr>
        <w:t>města.</w:t>
      </w:r>
    </w:p>
    <w:p>
      <w:pPr>
        <w:pStyle w:val="ListParagraph"/>
        <w:numPr>
          <w:ilvl w:val="0"/>
          <w:numId w:val="1"/>
        </w:numPr>
        <w:tabs>
          <w:tab w:pos="1024" w:val="left" w:leader="none"/>
          <w:tab w:pos="1025" w:val="left" w:leader="none"/>
        </w:tabs>
        <w:spacing w:line="240" w:lineRule="auto" w:before="114" w:after="0"/>
        <w:ind w:left="1024" w:right="147" w:hanging="852"/>
        <w:jc w:val="both"/>
        <w:rPr>
          <w:sz w:val="22"/>
        </w:rPr>
      </w:pPr>
      <w:r>
        <w:rPr>
          <w:sz w:val="22"/>
        </w:rPr>
        <w:t>Silnice II. a III. třídy v zastavěném území koncipovat v kategorii místní </w:t>
      </w:r>
      <w:r>
        <w:rPr>
          <w:b/>
          <w:sz w:val="22"/>
        </w:rPr>
        <w:t>sběrná </w:t>
      </w:r>
      <w:r>
        <w:rPr>
          <w:sz w:val="22"/>
        </w:rPr>
        <w:t>komunikace - ulice Andělohorská, Nádražní, Pobřežní (nová přeložka II/592), Frýdlantská, Liberecká, přeložka III/27250 východně centra, Spojovací,</w:t>
      </w:r>
      <w:r>
        <w:rPr>
          <w:spacing w:val="-6"/>
          <w:sz w:val="22"/>
        </w:rPr>
        <w:t> </w:t>
      </w:r>
      <w:r>
        <w:rPr>
          <w:sz w:val="22"/>
        </w:rPr>
        <w:t>Vítkovská.</w:t>
      </w:r>
    </w:p>
    <w:p>
      <w:pPr>
        <w:pStyle w:val="Heading3"/>
        <w:spacing w:before="119"/>
      </w:pPr>
      <w:r>
        <w:rPr/>
        <w:t>HLAVNÍ OBSLUŽNÉ KOMUNIKACE</w:t>
      </w:r>
    </w:p>
    <w:p>
      <w:pPr>
        <w:pStyle w:val="ListParagraph"/>
        <w:numPr>
          <w:ilvl w:val="0"/>
          <w:numId w:val="1"/>
        </w:numPr>
        <w:tabs>
          <w:tab w:pos="1024" w:val="left" w:leader="none"/>
          <w:tab w:pos="1025" w:val="left" w:leader="none"/>
        </w:tabs>
        <w:spacing w:line="244" w:lineRule="auto" w:before="119" w:after="0"/>
        <w:ind w:left="1024" w:right="146" w:hanging="852"/>
        <w:jc w:val="both"/>
        <w:rPr>
          <w:sz w:val="22"/>
        </w:rPr>
      </w:pPr>
      <w:r>
        <w:rPr>
          <w:sz w:val="22"/>
        </w:rPr>
        <w:t>Územně stabilizovat a rozvíjet síť </w:t>
      </w:r>
      <w:r>
        <w:rPr>
          <w:b/>
          <w:sz w:val="22"/>
        </w:rPr>
        <w:t>hlavních obslužných komunikací </w:t>
      </w:r>
      <w:r>
        <w:rPr>
          <w:sz w:val="22"/>
        </w:rPr>
        <w:t>s minimalizací počtu vozidel, která jen projíždějí, kategorie v rozsahu MO2 9/6,5/40 – MO2</w:t>
      </w:r>
      <w:r>
        <w:rPr>
          <w:spacing w:val="-16"/>
          <w:sz w:val="22"/>
        </w:rPr>
        <w:t> </w:t>
      </w:r>
      <w:r>
        <w:rPr>
          <w:sz w:val="22"/>
        </w:rPr>
        <w:t>12/7/50,</w:t>
      </w:r>
    </w:p>
    <w:p>
      <w:pPr>
        <w:pStyle w:val="ListParagraph"/>
        <w:numPr>
          <w:ilvl w:val="0"/>
          <w:numId w:val="2"/>
        </w:numPr>
        <w:tabs>
          <w:tab w:pos="1024" w:val="left" w:leader="none"/>
          <w:tab w:pos="1025" w:val="left" w:leader="none"/>
        </w:tabs>
        <w:spacing w:line="240" w:lineRule="auto" w:before="53" w:after="0"/>
        <w:ind w:left="1024" w:right="146" w:hanging="852"/>
        <w:jc w:val="both"/>
        <w:rPr>
          <w:sz w:val="22"/>
        </w:rPr>
      </w:pPr>
      <w:r>
        <w:rPr>
          <w:sz w:val="22"/>
        </w:rPr>
        <w:t>těmito komunikacemi zpřístupnit vymezené plochy v Panenské Hůrce, Vysoké, Vísce a městské lokality Na Hůrce, v Dolní a Horní Chrastavě, sídliště při ulici Liberecké nebo sportovně rekreační plochy (koupaliště, sportovní areál, střelnice</w:t>
      </w:r>
      <w:r>
        <w:rPr>
          <w:spacing w:val="-11"/>
          <w:sz w:val="22"/>
        </w:rPr>
        <w:t> </w:t>
      </w:r>
      <w:r>
        <w:rPr>
          <w:sz w:val="22"/>
        </w:rPr>
        <w:t>aj.).</w:t>
      </w:r>
    </w:p>
    <w:p>
      <w:pPr>
        <w:pStyle w:val="ListParagraph"/>
        <w:numPr>
          <w:ilvl w:val="0"/>
          <w:numId w:val="1"/>
        </w:numPr>
        <w:tabs>
          <w:tab w:pos="1024" w:val="left" w:leader="none"/>
          <w:tab w:pos="1025" w:val="left" w:leader="none"/>
        </w:tabs>
        <w:spacing w:line="240" w:lineRule="auto" w:before="119" w:after="0"/>
        <w:ind w:left="1024" w:right="147" w:hanging="852"/>
        <w:jc w:val="both"/>
        <w:rPr>
          <w:sz w:val="22"/>
        </w:rPr>
      </w:pPr>
      <w:r>
        <w:rPr>
          <w:sz w:val="22"/>
        </w:rPr>
        <w:t>Na síti obslužných komunikací realizovat dílčí dopravní propojení zajišťující prostupnost zastavěného</w:t>
      </w:r>
      <w:r>
        <w:rPr>
          <w:spacing w:val="-1"/>
          <w:sz w:val="22"/>
        </w:rPr>
        <w:t> </w:t>
      </w:r>
      <w:r>
        <w:rPr>
          <w:sz w:val="22"/>
        </w:rPr>
        <w:t>území:</w:t>
      </w:r>
    </w:p>
    <w:p>
      <w:pPr>
        <w:pStyle w:val="ListParagraph"/>
        <w:numPr>
          <w:ilvl w:val="0"/>
          <w:numId w:val="2"/>
        </w:numPr>
        <w:tabs>
          <w:tab w:pos="1024" w:val="left" w:leader="none"/>
          <w:tab w:pos="1025" w:val="left" w:leader="none"/>
        </w:tabs>
        <w:spacing w:line="240" w:lineRule="auto" w:before="60" w:after="0"/>
        <w:ind w:left="1024" w:right="0" w:hanging="853"/>
        <w:jc w:val="both"/>
        <w:rPr>
          <w:sz w:val="22"/>
        </w:rPr>
      </w:pPr>
      <w:r>
        <w:rPr>
          <w:sz w:val="22"/>
        </w:rPr>
        <w:t>rekonstruovat přednádražní prostor včetně okružní</w:t>
      </w:r>
      <w:r>
        <w:rPr>
          <w:spacing w:val="-7"/>
          <w:sz w:val="22"/>
        </w:rPr>
        <w:t> </w:t>
      </w:r>
      <w:r>
        <w:rPr>
          <w:sz w:val="22"/>
        </w:rPr>
        <w:t>křižovatky,</w:t>
      </w:r>
    </w:p>
    <w:p>
      <w:pPr>
        <w:pStyle w:val="ListParagraph"/>
        <w:numPr>
          <w:ilvl w:val="0"/>
          <w:numId w:val="2"/>
        </w:numPr>
        <w:tabs>
          <w:tab w:pos="1024" w:val="left" w:leader="none"/>
          <w:tab w:pos="1025" w:val="left" w:leader="none"/>
        </w:tabs>
        <w:spacing w:line="240" w:lineRule="auto" w:before="58" w:after="0"/>
        <w:ind w:left="1024" w:right="0" w:hanging="853"/>
        <w:jc w:val="both"/>
        <w:rPr>
          <w:sz w:val="22"/>
        </w:rPr>
      </w:pPr>
      <w:r>
        <w:rPr>
          <w:sz w:val="22"/>
        </w:rPr>
        <w:t>realizovat přeložku místní komunikace do Vysoké s napojením na silnici</w:t>
      </w:r>
      <w:r>
        <w:rPr>
          <w:spacing w:val="-18"/>
          <w:sz w:val="22"/>
        </w:rPr>
        <w:t> </w:t>
      </w:r>
      <w:r>
        <w:rPr>
          <w:sz w:val="22"/>
        </w:rPr>
        <w:t>III/27251,</w:t>
      </w:r>
    </w:p>
    <w:p>
      <w:pPr>
        <w:pStyle w:val="ListParagraph"/>
        <w:numPr>
          <w:ilvl w:val="0"/>
          <w:numId w:val="2"/>
        </w:numPr>
        <w:tabs>
          <w:tab w:pos="1024" w:val="left" w:leader="none"/>
          <w:tab w:pos="1025" w:val="left" w:leader="none"/>
        </w:tabs>
        <w:spacing w:line="240" w:lineRule="auto" w:before="61" w:after="0"/>
        <w:ind w:left="1024" w:right="0" w:hanging="853"/>
        <w:jc w:val="both"/>
        <w:rPr>
          <w:sz w:val="22"/>
        </w:rPr>
      </w:pPr>
      <w:r>
        <w:rPr>
          <w:sz w:val="22"/>
        </w:rPr>
        <w:t>zokruhovat místní obslužné komunikace v sídlišti Střelecký</w:t>
      </w:r>
      <w:r>
        <w:rPr>
          <w:spacing w:val="-13"/>
          <w:sz w:val="22"/>
        </w:rPr>
        <w:t> </w:t>
      </w:r>
      <w:r>
        <w:rPr>
          <w:sz w:val="22"/>
        </w:rPr>
        <w:t>vrch,</w:t>
      </w:r>
    </w:p>
    <w:p>
      <w:pPr>
        <w:pStyle w:val="ListParagraph"/>
        <w:numPr>
          <w:ilvl w:val="0"/>
          <w:numId w:val="2"/>
        </w:numPr>
        <w:tabs>
          <w:tab w:pos="1024" w:val="left" w:leader="none"/>
          <w:tab w:pos="1025" w:val="left" w:leader="none"/>
        </w:tabs>
        <w:spacing w:line="240" w:lineRule="auto" w:before="58" w:after="0"/>
        <w:ind w:left="1024" w:right="145" w:hanging="852"/>
        <w:jc w:val="left"/>
        <w:rPr>
          <w:sz w:val="22"/>
        </w:rPr>
      </w:pPr>
      <w:r>
        <w:rPr>
          <w:sz w:val="22"/>
        </w:rPr>
        <w:t>propojit ulice Pobřežní a Nádražní u ČOV, rekonstruovat most přes Jeřici, propojit místní komunikace k ČSPH u</w:t>
      </w:r>
      <w:r>
        <w:rPr>
          <w:spacing w:val="-4"/>
          <w:sz w:val="22"/>
        </w:rPr>
        <w:t> </w:t>
      </w:r>
      <w:r>
        <w:rPr>
          <w:sz w:val="22"/>
        </w:rPr>
        <w:t>I/35,</w:t>
      </w:r>
    </w:p>
    <w:p>
      <w:pPr>
        <w:pStyle w:val="ListParagraph"/>
        <w:numPr>
          <w:ilvl w:val="0"/>
          <w:numId w:val="2"/>
        </w:numPr>
        <w:tabs>
          <w:tab w:pos="1024" w:val="left" w:leader="none"/>
          <w:tab w:pos="1025" w:val="left" w:leader="none"/>
        </w:tabs>
        <w:spacing w:line="240" w:lineRule="auto" w:before="59" w:after="0"/>
        <w:ind w:left="1024" w:right="0" w:hanging="853"/>
        <w:jc w:val="left"/>
        <w:rPr>
          <w:sz w:val="22"/>
        </w:rPr>
      </w:pPr>
      <w:r>
        <w:rPr>
          <w:sz w:val="22"/>
        </w:rPr>
        <w:t>rozšířit místní obslužnou komunikaci na Panenskou</w:t>
      </w:r>
      <w:r>
        <w:rPr>
          <w:spacing w:val="-6"/>
          <w:sz w:val="22"/>
        </w:rPr>
        <w:t> </w:t>
      </w:r>
      <w:r>
        <w:rPr>
          <w:sz w:val="22"/>
        </w:rPr>
        <w:t>Hůrku,</w:t>
      </w:r>
    </w:p>
    <w:p>
      <w:pPr>
        <w:pStyle w:val="ListParagraph"/>
        <w:numPr>
          <w:ilvl w:val="0"/>
          <w:numId w:val="2"/>
        </w:numPr>
        <w:tabs>
          <w:tab w:pos="1024" w:val="left" w:leader="none"/>
          <w:tab w:pos="1025" w:val="left" w:leader="none"/>
        </w:tabs>
        <w:spacing w:line="240" w:lineRule="auto" w:before="58" w:after="0"/>
        <w:ind w:left="1024" w:right="0" w:hanging="853"/>
        <w:jc w:val="left"/>
        <w:rPr>
          <w:sz w:val="22"/>
        </w:rPr>
      </w:pPr>
      <w:r>
        <w:rPr>
          <w:sz w:val="22"/>
        </w:rPr>
        <w:t>realizovat místní obslužnou spojku k silnici III/27250 v k.ú. Chrastava I - plocha</w:t>
      </w:r>
      <w:r>
        <w:rPr>
          <w:spacing w:val="-20"/>
          <w:sz w:val="22"/>
        </w:rPr>
        <w:t> </w:t>
      </w:r>
      <w:r>
        <w:rPr>
          <w:sz w:val="22"/>
        </w:rPr>
        <w:t>45.P.</w:t>
      </w:r>
    </w:p>
    <w:p>
      <w:pPr>
        <w:pStyle w:val="ListParagraph"/>
        <w:numPr>
          <w:ilvl w:val="0"/>
          <w:numId w:val="2"/>
        </w:numPr>
        <w:tabs>
          <w:tab w:pos="1024" w:val="left" w:leader="none"/>
          <w:tab w:pos="1025" w:val="left" w:leader="none"/>
        </w:tabs>
        <w:spacing w:line="240" w:lineRule="auto" w:before="61" w:after="0"/>
        <w:ind w:left="1024" w:right="0" w:hanging="853"/>
        <w:jc w:val="left"/>
        <w:rPr>
          <w:sz w:val="22"/>
        </w:rPr>
      </w:pPr>
      <w:r>
        <w:rPr>
          <w:sz w:val="22"/>
        </w:rPr>
        <w:t>upravit křižovatku na Nádražní ulici k novému napojení lokality</w:t>
      </w:r>
      <w:r>
        <w:rPr>
          <w:spacing w:val="-14"/>
          <w:sz w:val="22"/>
        </w:rPr>
        <w:t> </w:t>
      </w:r>
      <w:r>
        <w:rPr>
          <w:sz w:val="22"/>
        </w:rPr>
        <w:t>„Kovák“.</w:t>
      </w:r>
    </w:p>
    <w:p>
      <w:pPr>
        <w:spacing w:after="0" w:line="240" w:lineRule="auto"/>
        <w:jc w:val="left"/>
        <w:rPr>
          <w:sz w:val="22"/>
        </w:rPr>
        <w:sectPr>
          <w:pgSz w:w="11900" w:h="16840"/>
          <w:pgMar w:header="557" w:footer="582" w:top="760" w:bottom="780" w:left="960" w:right="980"/>
        </w:sectPr>
      </w:pPr>
    </w:p>
    <w:p>
      <w:pPr>
        <w:pStyle w:val="BodyText"/>
        <w:spacing w:before="1"/>
        <w:ind w:left="0" w:firstLine="0"/>
        <w:jc w:val="left"/>
      </w:pPr>
    </w:p>
    <w:p>
      <w:pPr>
        <w:pStyle w:val="Heading3"/>
        <w:spacing w:before="101"/>
      </w:pPr>
      <w:r>
        <w:rPr/>
        <w:t>OSTATNÍ OBSLUŽNÉ KOMUNIKACE</w:t>
      </w:r>
    </w:p>
    <w:p>
      <w:pPr>
        <w:pStyle w:val="ListParagraph"/>
        <w:numPr>
          <w:ilvl w:val="0"/>
          <w:numId w:val="1"/>
        </w:numPr>
        <w:tabs>
          <w:tab w:pos="1024" w:val="left" w:leader="none"/>
          <w:tab w:pos="1025" w:val="left" w:leader="none"/>
        </w:tabs>
        <w:spacing w:line="240" w:lineRule="auto" w:before="124" w:after="0"/>
        <w:ind w:left="1024" w:right="147" w:hanging="852"/>
        <w:jc w:val="both"/>
        <w:rPr>
          <w:sz w:val="22"/>
        </w:rPr>
      </w:pPr>
      <w:r>
        <w:rPr>
          <w:sz w:val="22"/>
        </w:rPr>
        <w:t>Dopravní přístup ke stabilizovaným i zastavitelným plochám a jednotlivým stavebním pozemkům z vyšší dopravní kostry s návrhovou kategorii stanovenou v ÚP zajišťovat pomocí </w:t>
      </w:r>
      <w:r>
        <w:rPr>
          <w:b/>
          <w:sz w:val="22"/>
        </w:rPr>
        <w:t>ostatních obslužných komunikací </w:t>
      </w:r>
      <w:r>
        <w:rPr>
          <w:sz w:val="22"/>
        </w:rPr>
        <w:t>– plochy veřejných prostranství</w:t>
      </w:r>
      <w:r>
        <w:rPr>
          <w:spacing w:val="-20"/>
          <w:sz w:val="22"/>
        </w:rPr>
        <w:t> </w:t>
      </w:r>
      <w:r>
        <w:rPr>
          <w:sz w:val="22"/>
        </w:rPr>
        <w:t>(P),</w:t>
      </w:r>
    </w:p>
    <w:p>
      <w:pPr>
        <w:pStyle w:val="ListParagraph"/>
        <w:numPr>
          <w:ilvl w:val="0"/>
          <w:numId w:val="2"/>
        </w:numPr>
        <w:tabs>
          <w:tab w:pos="1024" w:val="left" w:leader="none"/>
          <w:tab w:pos="1025" w:val="left" w:leader="none"/>
        </w:tabs>
        <w:spacing w:line="242" w:lineRule="auto" w:before="57" w:after="0"/>
        <w:ind w:left="1024" w:right="146" w:hanging="853"/>
        <w:jc w:val="both"/>
        <w:rPr>
          <w:sz w:val="22"/>
        </w:rPr>
      </w:pPr>
      <w:r>
        <w:rPr>
          <w:sz w:val="22"/>
        </w:rPr>
        <w:t>potenciální trasy </w:t>
      </w:r>
      <w:r>
        <w:rPr>
          <w:b/>
          <w:sz w:val="22"/>
        </w:rPr>
        <w:t>bezmotorové dopravy </w:t>
      </w:r>
      <w:r>
        <w:rPr>
          <w:sz w:val="22"/>
        </w:rPr>
        <w:t>považovat s ohledem na zatížení těchto komunikací za jejich přirozenou</w:t>
      </w:r>
      <w:r>
        <w:rPr>
          <w:spacing w:val="-4"/>
          <w:sz w:val="22"/>
        </w:rPr>
        <w:t> </w:t>
      </w:r>
      <w:r>
        <w:rPr>
          <w:sz w:val="22"/>
        </w:rPr>
        <w:t>součást,</w:t>
      </w:r>
    </w:p>
    <w:p>
      <w:pPr>
        <w:pStyle w:val="ListParagraph"/>
        <w:numPr>
          <w:ilvl w:val="0"/>
          <w:numId w:val="2"/>
        </w:numPr>
        <w:tabs>
          <w:tab w:pos="1024" w:val="left" w:leader="none"/>
          <w:tab w:pos="1025" w:val="left" w:leader="none"/>
        </w:tabs>
        <w:spacing w:line="240" w:lineRule="auto" w:before="57" w:after="0"/>
        <w:ind w:left="1024" w:right="146" w:hanging="852"/>
        <w:jc w:val="both"/>
        <w:rPr>
          <w:sz w:val="22"/>
        </w:rPr>
      </w:pPr>
      <w:r>
        <w:rPr>
          <w:sz w:val="22"/>
        </w:rPr>
        <w:t>do ostatních obslužných komunikací zahrnout i systém účelových zemědělských a lesních svozových</w:t>
      </w:r>
      <w:r>
        <w:rPr>
          <w:spacing w:val="-1"/>
          <w:sz w:val="22"/>
        </w:rPr>
        <w:t> </w:t>
      </w:r>
      <w:r>
        <w:rPr>
          <w:sz w:val="22"/>
        </w:rPr>
        <w:t>cest.</w:t>
      </w:r>
    </w:p>
    <w:p>
      <w:pPr>
        <w:pStyle w:val="ListParagraph"/>
        <w:numPr>
          <w:ilvl w:val="0"/>
          <w:numId w:val="1"/>
        </w:numPr>
        <w:tabs>
          <w:tab w:pos="1024" w:val="left" w:leader="none"/>
          <w:tab w:pos="1025" w:val="left" w:leader="none"/>
        </w:tabs>
        <w:spacing w:line="240" w:lineRule="auto" w:before="119" w:after="0"/>
        <w:ind w:left="1024" w:right="146" w:hanging="852"/>
        <w:jc w:val="both"/>
        <w:rPr>
          <w:sz w:val="22"/>
        </w:rPr>
      </w:pPr>
      <w:r>
        <w:rPr>
          <w:sz w:val="22"/>
        </w:rPr>
        <w:t>Při návrhu nových resp. rekonstrukci stávajících komunikací, vyvolané jejich zanedbaným stavem spíše než nárůstem kapacit, stanovovat jejich návrhovou kategorii na základě dopravně technického posouzení podrobného řešení v dalších stupních projektové přípravy,</w:t>
      </w:r>
    </w:p>
    <w:p>
      <w:pPr>
        <w:pStyle w:val="ListParagraph"/>
        <w:numPr>
          <w:ilvl w:val="0"/>
          <w:numId w:val="2"/>
        </w:numPr>
        <w:tabs>
          <w:tab w:pos="1024" w:val="left" w:leader="none"/>
          <w:tab w:pos="1025" w:val="left" w:leader="none"/>
        </w:tabs>
        <w:spacing w:line="240" w:lineRule="auto" w:before="59" w:after="0"/>
        <w:ind w:left="1024" w:right="146" w:hanging="852"/>
        <w:jc w:val="both"/>
        <w:rPr>
          <w:sz w:val="22"/>
        </w:rPr>
      </w:pPr>
      <w:r>
        <w:rPr>
          <w:sz w:val="22"/>
        </w:rPr>
        <w:t>používat minimální kategorie MO2k 6,5/4,5/30, ve stísněných prostorových poměrech stabilizovaných ploch MO1k 4,5/3,5/30 s výhybnami po 80-100 m přednostně v místech vjezdů na pozemky,</w:t>
      </w:r>
    </w:p>
    <w:p>
      <w:pPr>
        <w:pStyle w:val="ListParagraph"/>
        <w:numPr>
          <w:ilvl w:val="0"/>
          <w:numId w:val="2"/>
        </w:numPr>
        <w:tabs>
          <w:tab w:pos="1024" w:val="left" w:leader="none"/>
          <w:tab w:pos="1025" w:val="left" w:leader="none"/>
        </w:tabs>
        <w:spacing w:line="240" w:lineRule="auto" w:before="61" w:after="0"/>
        <w:ind w:left="1024" w:right="145" w:hanging="852"/>
        <w:jc w:val="both"/>
        <w:rPr>
          <w:sz w:val="22"/>
        </w:rPr>
      </w:pPr>
      <w:r>
        <w:rPr>
          <w:sz w:val="22"/>
        </w:rPr>
        <w:t>možnost dosažení stanovené návrhové kategorie ostatních obslužných komunikací zajišťovat regulativem uvedeným  v kapitole  „F.3.2 Omezení využívání ploch  stanovená v</w:t>
      </w:r>
      <w:r>
        <w:rPr>
          <w:spacing w:val="-2"/>
          <w:sz w:val="22"/>
        </w:rPr>
        <w:t> </w:t>
      </w:r>
      <w:r>
        <w:rPr>
          <w:sz w:val="22"/>
        </w:rPr>
        <w:t>ÚP“.</w:t>
      </w:r>
    </w:p>
    <w:p>
      <w:pPr>
        <w:pStyle w:val="ListParagraph"/>
        <w:numPr>
          <w:ilvl w:val="0"/>
          <w:numId w:val="1"/>
        </w:numPr>
        <w:tabs>
          <w:tab w:pos="1024" w:val="left" w:leader="none"/>
          <w:tab w:pos="1025" w:val="left" w:leader="none"/>
        </w:tabs>
        <w:spacing w:line="240" w:lineRule="auto" w:before="116" w:after="0"/>
        <w:ind w:left="1024" w:right="146" w:hanging="852"/>
        <w:jc w:val="both"/>
        <w:rPr>
          <w:sz w:val="22"/>
        </w:rPr>
      </w:pPr>
      <w:r>
        <w:rPr>
          <w:b/>
          <w:sz w:val="22"/>
        </w:rPr>
        <w:t>Vnitřní komunikační systém </w:t>
      </w:r>
      <w:r>
        <w:rPr>
          <w:sz w:val="22"/>
        </w:rPr>
        <w:t>soustředěných rozvojových ploch upřesňovat na základě podmínek pro využití ploch uvedených v tabulkách kapitoly „C.2 Návrh zastavitelných ploch, ploch přestavby a nezastavitelných ploch“ návrhu</w:t>
      </w:r>
      <w:r>
        <w:rPr>
          <w:spacing w:val="-6"/>
          <w:sz w:val="22"/>
        </w:rPr>
        <w:t> </w:t>
      </w:r>
      <w:r>
        <w:rPr>
          <w:sz w:val="22"/>
        </w:rPr>
        <w:t>ÚP:</w:t>
      </w:r>
    </w:p>
    <w:p>
      <w:pPr>
        <w:pStyle w:val="ListParagraph"/>
        <w:numPr>
          <w:ilvl w:val="0"/>
          <w:numId w:val="2"/>
        </w:numPr>
        <w:tabs>
          <w:tab w:pos="1024" w:val="left" w:leader="none"/>
          <w:tab w:pos="1025" w:val="left" w:leader="none"/>
        </w:tabs>
        <w:spacing w:line="240" w:lineRule="auto" w:before="59" w:after="0"/>
        <w:ind w:left="1024" w:right="146" w:hanging="852"/>
        <w:jc w:val="both"/>
        <w:rPr>
          <w:sz w:val="22"/>
        </w:rPr>
      </w:pPr>
      <w:r>
        <w:rPr>
          <w:b/>
          <w:sz w:val="22"/>
        </w:rPr>
        <w:t>„VP – </w:t>
      </w:r>
      <w:r>
        <w:rPr>
          <w:sz w:val="22"/>
        </w:rPr>
        <w:t>v dalších stupních projektové přípravy prokázat způsob vymezení veřejných prostranství na celé ploše vč. návaznosti na širší</w:t>
      </w:r>
      <w:r>
        <w:rPr>
          <w:spacing w:val="-7"/>
          <w:sz w:val="22"/>
        </w:rPr>
        <w:t> </w:t>
      </w:r>
      <w:r>
        <w:rPr>
          <w:sz w:val="22"/>
        </w:rPr>
        <w:t>území“.</w:t>
      </w:r>
    </w:p>
    <w:p>
      <w:pPr>
        <w:pStyle w:val="ListParagraph"/>
        <w:numPr>
          <w:ilvl w:val="0"/>
          <w:numId w:val="1"/>
        </w:numPr>
        <w:tabs>
          <w:tab w:pos="1024" w:val="left" w:leader="none"/>
          <w:tab w:pos="1025" w:val="left" w:leader="none"/>
        </w:tabs>
        <w:spacing w:line="240" w:lineRule="auto" w:before="120" w:after="0"/>
        <w:ind w:left="1024" w:right="148" w:hanging="852"/>
        <w:jc w:val="both"/>
        <w:rPr>
          <w:sz w:val="22"/>
        </w:rPr>
      </w:pPr>
      <w:r>
        <w:rPr>
          <w:sz w:val="22"/>
        </w:rPr>
        <w:t>V území centra vymezeném </w:t>
      </w:r>
      <w:r>
        <w:rPr>
          <w:b/>
          <w:sz w:val="22"/>
        </w:rPr>
        <w:t>vnitřním okruhem </w:t>
      </w:r>
      <w:r>
        <w:rPr>
          <w:sz w:val="22"/>
        </w:rPr>
        <w:t>povolovat pouze dopravní obsluhu a zbytným průjezdům zamezovat organizačním vymezením „kapes“ vstupujících do a vystupujících z centra bez možnosti zkrácení dopravní doby oproti trase po</w:t>
      </w:r>
      <w:r>
        <w:rPr>
          <w:spacing w:val="-28"/>
          <w:sz w:val="22"/>
        </w:rPr>
        <w:t> </w:t>
      </w:r>
      <w:r>
        <w:rPr>
          <w:sz w:val="22"/>
        </w:rPr>
        <w:t>okruhu,</w:t>
      </w:r>
    </w:p>
    <w:p>
      <w:pPr>
        <w:pStyle w:val="ListParagraph"/>
        <w:numPr>
          <w:ilvl w:val="0"/>
          <w:numId w:val="2"/>
        </w:numPr>
        <w:tabs>
          <w:tab w:pos="1024" w:val="left" w:leader="none"/>
          <w:tab w:pos="1025" w:val="left" w:leader="none"/>
        </w:tabs>
        <w:spacing w:line="240" w:lineRule="auto" w:before="59" w:after="0"/>
        <w:ind w:left="1024" w:right="0" w:hanging="853"/>
        <w:jc w:val="both"/>
        <w:rPr>
          <w:sz w:val="22"/>
        </w:rPr>
      </w:pPr>
      <w:r>
        <w:rPr>
          <w:sz w:val="22"/>
        </w:rPr>
        <w:t>dopravního zklidnění centra využít pro vytvoření </w:t>
      </w:r>
      <w:r>
        <w:rPr>
          <w:b/>
          <w:sz w:val="22"/>
        </w:rPr>
        <w:t>pěší</w:t>
      </w:r>
      <w:r>
        <w:rPr>
          <w:b/>
          <w:spacing w:val="-7"/>
          <w:sz w:val="22"/>
        </w:rPr>
        <w:t> </w:t>
      </w:r>
      <w:r>
        <w:rPr>
          <w:b/>
          <w:sz w:val="22"/>
        </w:rPr>
        <w:t>zóny</w:t>
      </w:r>
      <w:r>
        <w:rPr>
          <w:sz w:val="22"/>
        </w:rPr>
        <w:t>.</w:t>
      </w:r>
    </w:p>
    <w:p>
      <w:pPr>
        <w:pStyle w:val="Heading2"/>
        <w:numPr>
          <w:ilvl w:val="2"/>
          <w:numId w:val="5"/>
        </w:numPr>
        <w:tabs>
          <w:tab w:pos="1025" w:val="left" w:leader="none"/>
        </w:tabs>
        <w:spacing w:line="240" w:lineRule="auto" w:before="181" w:after="0"/>
        <w:ind w:left="1024" w:right="0" w:hanging="853"/>
        <w:jc w:val="both"/>
      </w:pPr>
      <w:r>
        <w:rPr/>
        <w:t>VEŘEJNÁ DOPRAVA OSOB</w:t>
      </w:r>
      <w:r>
        <w:rPr>
          <w:spacing w:val="-3"/>
        </w:rPr>
        <w:t> </w:t>
      </w:r>
      <w:r>
        <w:rPr/>
        <w:t>(VDO)</w:t>
      </w:r>
    </w:p>
    <w:p>
      <w:pPr>
        <w:pStyle w:val="Heading3"/>
        <w:spacing w:before="77"/>
      </w:pPr>
      <w:r>
        <w:rPr/>
        <w:t>AUTOBUSOVÁ DOPRAVA</w:t>
      </w:r>
    </w:p>
    <w:p>
      <w:pPr>
        <w:pStyle w:val="ListParagraph"/>
        <w:numPr>
          <w:ilvl w:val="0"/>
          <w:numId w:val="1"/>
        </w:numPr>
        <w:tabs>
          <w:tab w:pos="1024" w:val="left" w:leader="none"/>
          <w:tab w:pos="1025" w:val="left" w:leader="none"/>
        </w:tabs>
        <w:spacing w:line="240" w:lineRule="auto" w:before="62" w:after="0"/>
        <w:ind w:left="1024" w:right="146" w:hanging="853"/>
        <w:jc w:val="both"/>
        <w:rPr>
          <w:sz w:val="22"/>
        </w:rPr>
      </w:pPr>
      <w:r>
        <w:rPr>
          <w:sz w:val="22"/>
        </w:rPr>
        <w:t>Systém obsluhy řešeného území </w:t>
      </w:r>
      <w:r>
        <w:rPr>
          <w:b/>
          <w:sz w:val="22"/>
        </w:rPr>
        <w:t>autobusovou dopravou </w:t>
      </w:r>
      <w:r>
        <w:rPr>
          <w:sz w:val="22"/>
        </w:rPr>
        <w:t>provozovat po průtazích silnic I/13, II/592 a silnicích III.</w:t>
      </w:r>
      <w:r>
        <w:rPr>
          <w:spacing w:val="-7"/>
          <w:sz w:val="22"/>
        </w:rPr>
        <w:t> </w:t>
      </w:r>
      <w:r>
        <w:rPr>
          <w:sz w:val="22"/>
        </w:rPr>
        <w:t>třídy.</w:t>
      </w:r>
    </w:p>
    <w:p>
      <w:pPr>
        <w:pStyle w:val="ListParagraph"/>
        <w:numPr>
          <w:ilvl w:val="0"/>
          <w:numId w:val="1"/>
        </w:numPr>
        <w:tabs>
          <w:tab w:pos="1024" w:val="left" w:leader="none"/>
          <w:tab w:pos="1025" w:val="left" w:leader="none"/>
        </w:tabs>
        <w:spacing w:line="240" w:lineRule="auto" w:before="60" w:after="0"/>
        <w:ind w:left="1024" w:right="147" w:hanging="852"/>
        <w:jc w:val="both"/>
        <w:rPr>
          <w:sz w:val="22"/>
        </w:rPr>
      </w:pPr>
      <w:r>
        <w:rPr>
          <w:b/>
          <w:sz w:val="22"/>
        </w:rPr>
        <w:t>Autobusové nádraží </w:t>
      </w:r>
      <w:r>
        <w:rPr>
          <w:sz w:val="22"/>
        </w:rPr>
        <w:t>Chrastava územně stabilizovat mezi průtahem I/35 a historickým jádrem města na ploše umožňující vedle řešení absence odbavovacího objektu i realizaci dalších navazujících</w:t>
      </w:r>
      <w:r>
        <w:rPr>
          <w:spacing w:val="-1"/>
          <w:sz w:val="22"/>
        </w:rPr>
        <w:t> </w:t>
      </w:r>
      <w:r>
        <w:rPr>
          <w:sz w:val="22"/>
        </w:rPr>
        <w:t>služeb,</w:t>
      </w:r>
    </w:p>
    <w:p>
      <w:pPr>
        <w:pStyle w:val="ListParagraph"/>
        <w:numPr>
          <w:ilvl w:val="0"/>
          <w:numId w:val="2"/>
        </w:numPr>
        <w:tabs>
          <w:tab w:pos="1024" w:val="left" w:leader="none"/>
          <w:tab w:pos="1025" w:val="left" w:leader="none"/>
        </w:tabs>
        <w:spacing w:line="240" w:lineRule="auto" w:before="62" w:after="0"/>
        <w:ind w:left="1024" w:right="0" w:hanging="853"/>
        <w:jc w:val="both"/>
        <w:rPr>
          <w:sz w:val="22"/>
        </w:rPr>
      </w:pPr>
      <w:r>
        <w:rPr>
          <w:sz w:val="22"/>
        </w:rPr>
        <w:t>pro nezbytné odstavení autobusů využít plochu v prostoru mimoúrovňové</w:t>
      </w:r>
      <w:r>
        <w:rPr>
          <w:spacing w:val="-18"/>
          <w:sz w:val="22"/>
        </w:rPr>
        <w:t> </w:t>
      </w:r>
      <w:r>
        <w:rPr>
          <w:sz w:val="22"/>
        </w:rPr>
        <w:t>křižovatky,</w:t>
      </w:r>
    </w:p>
    <w:p>
      <w:pPr>
        <w:pStyle w:val="ListParagraph"/>
        <w:numPr>
          <w:ilvl w:val="0"/>
          <w:numId w:val="2"/>
        </w:numPr>
        <w:tabs>
          <w:tab w:pos="1024" w:val="left" w:leader="none"/>
          <w:tab w:pos="1025" w:val="left" w:leader="none"/>
        </w:tabs>
        <w:spacing w:line="240" w:lineRule="auto" w:before="58" w:after="0"/>
        <w:ind w:left="1024" w:right="148" w:hanging="852"/>
        <w:jc w:val="both"/>
        <w:rPr>
          <w:sz w:val="22"/>
        </w:rPr>
      </w:pPr>
      <w:r>
        <w:rPr>
          <w:sz w:val="22"/>
        </w:rPr>
        <w:t>v rozsahu prostorů autobusových zastávek v rámci ploch komunikací budovat zálivy pro vozidla s opatřeními na ochranu přecházejících</w:t>
      </w:r>
      <w:r>
        <w:rPr>
          <w:spacing w:val="-3"/>
          <w:sz w:val="22"/>
        </w:rPr>
        <w:t> </w:t>
      </w:r>
      <w:r>
        <w:rPr>
          <w:sz w:val="22"/>
        </w:rPr>
        <w:t>cestujících.</w:t>
      </w:r>
    </w:p>
    <w:p>
      <w:pPr>
        <w:pStyle w:val="ListParagraph"/>
        <w:numPr>
          <w:ilvl w:val="0"/>
          <w:numId w:val="1"/>
        </w:numPr>
        <w:tabs>
          <w:tab w:pos="1024" w:val="left" w:leader="none"/>
          <w:tab w:pos="1025" w:val="left" w:leader="none"/>
        </w:tabs>
        <w:spacing w:line="240" w:lineRule="auto" w:before="60" w:after="0"/>
        <w:ind w:left="1024" w:right="145" w:hanging="852"/>
        <w:jc w:val="both"/>
        <w:rPr>
          <w:sz w:val="22"/>
        </w:rPr>
      </w:pPr>
      <w:r>
        <w:rPr>
          <w:sz w:val="22"/>
        </w:rPr>
        <w:t>V souvislosti s dokompletováním sítě sběrných a hlavních obslužných komunikací provádět průběžně korekce městských </w:t>
      </w:r>
      <w:r>
        <w:rPr>
          <w:b/>
          <w:sz w:val="22"/>
        </w:rPr>
        <w:t>autobusových linek </w:t>
      </w:r>
      <w:r>
        <w:rPr>
          <w:sz w:val="22"/>
        </w:rPr>
        <w:t>především v obsluze okrajových městských</w:t>
      </w:r>
      <w:r>
        <w:rPr>
          <w:spacing w:val="-1"/>
          <w:sz w:val="22"/>
        </w:rPr>
        <w:t> </w:t>
      </w:r>
      <w:r>
        <w:rPr>
          <w:sz w:val="22"/>
        </w:rPr>
        <w:t>částí.</w:t>
      </w:r>
    </w:p>
    <w:p>
      <w:pPr>
        <w:pStyle w:val="Heading2"/>
        <w:numPr>
          <w:ilvl w:val="2"/>
          <w:numId w:val="5"/>
        </w:numPr>
        <w:tabs>
          <w:tab w:pos="1026" w:val="left" w:leader="none"/>
        </w:tabs>
        <w:spacing w:line="240" w:lineRule="auto" w:before="178" w:after="0"/>
        <w:ind w:left="1025" w:right="0" w:hanging="853"/>
        <w:jc w:val="both"/>
      </w:pPr>
      <w:r>
        <w:rPr/>
        <w:t>DOPRAVA V</w:t>
      </w:r>
      <w:r>
        <w:rPr>
          <w:spacing w:val="-5"/>
        </w:rPr>
        <w:t> </w:t>
      </w:r>
      <w:r>
        <w:rPr/>
        <w:t>KLIDU</w:t>
      </w:r>
    </w:p>
    <w:p>
      <w:pPr>
        <w:pStyle w:val="ListParagraph"/>
        <w:numPr>
          <w:ilvl w:val="0"/>
          <w:numId w:val="1"/>
        </w:numPr>
        <w:tabs>
          <w:tab w:pos="1024" w:val="left" w:leader="none"/>
          <w:tab w:pos="1026" w:val="left" w:leader="none"/>
        </w:tabs>
        <w:spacing w:line="240" w:lineRule="auto" w:before="60" w:after="0"/>
        <w:ind w:left="1025" w:right="148" w:hanging="852"/>
        <w:jc w:val="both"/>
        <w:rPr>
          <w:sz w:val="22"/>
        </w:rPr>
      </w:pPr>
      <w:r>
        <w:rPr>
          <w:sz w:val="22"/>
        </w:rPr>
        <w:t>Prostory pro </w:t>
      </w:r>
      <w:r>
        <w:rPr>
          <w:b/>
          <w:sz w:val="22"/>
        </w:rPr>
        <w:t>odstavování a garážování </w:t>
      </w:r>
      <w:r>
        <w:rPr>
          <w:sz w:val="22"/>
        </w:rPr>
        <w:t>motorových vozidel považovat za nedílnou součást jednotlivých ploch s rozdílným způsobem využití, pro něž slouží, v nové výstavbě řešit odstavování vozidel na vlastních pozemcích a garážování ve vlastních</w:t>
      </w:r>
      <w:r>
        <w:rPr>
          <w:spacing w:val="-20"/>
          <w:sz w:val="22"/>
        </w:rPr>
        <w:t> </w:t>
      </w:r>
      <w:r>
        <w:rPr>
          <w:sz w:val="22"/>
        </w:rPr>
        <w:t>objektech.</w:t>
      </w:r>
    </w:p>
    <w:p>
      <w:pPr>
        <w:pStyle w:val="ListParagraph"/>
        <w:numPr>
          <w:ilvl w:val="0"/>
          <w:numId w:val="1"/>
        </w:numPr>
        <w:tabs>
          <w:tab w:pos="1024" w:val="left" w:leader="none"/>
          <w:tab w:pos="1026" w:val="left" w:leader="none"/>
        </w:tabs>
        <w:spacing w:line="244" w:lineRule="auto" w:before="59" w:after="0"/>
        <w:ind w:left="1025" w:right="146" w:hanging="852"/>
        <w:jc w:val="both"/>
        <w:rPr>
          <w:sz w:val="22"/>
        </w:rPr>
      </w:pPr>
      <w:r>
        <w:rPr>
          <w:sz w:val="22"/>
        </w:rPr>
        <w:t>Při změnách využití území respektovat </w:t>
      </w:r>
      <w:r>
        <w:rPr>
          <w:b/>
          <w:sz w:val="22"/>
        </w:rPr>
        <w:t>normovou potřebu </w:t>
      </w:r>
      <w:r>
        <w:rPr>
          <w:sz w:val="22"/>
        </w:rPr>
        <w:t>odstavných stání, kterou je třeba umístit na dané ploše s rozdílným způsobem</w:t>
      </w:r>
      <w:r>
        <w:rPr>
          <w:spacing w:val="-4"/>
          <w:sz w:val="22"/>
        </w:rPr>
        <w:t> </w:t>
      </w:r>
      <w:r>
        <w:rPr>
          <w:sz w:val="22"/>
        </w:rPr>
        <w:t>využití,</w:t>
      </w:r>
    </w:p>
    <w:p>
      <w:pPr>
        <w:pStyle w:val="ListParagraph"/>
        <w:numPr>
          <w:ilvl w:val="0"/>
          <w:numId w:val="2"/>
        </w:numPr>
        <w:tabs>
          <w:tab w:pos="1024" w:val="left" w:leader="none"/>
          <w:tab w:pos="1026" w:val="left" w:leader="none"/>
        </w:tabs>
        <w:spacing w:line="240" w:lineRule="auto" w:before="53" w:after="0"/>
        <w:ind w:left="1025" w:right="146" w:hanging="852"/>
        <w:jc w:val="both"/>
        <w:rPr>
          <w:sz w:val="22"/>
        </w:rPr>
      </w:pPr>
      <w:r>
        <w:rPr>
          <w:sz w:val="22"/>
        </w:rPr>
        <w:t>na rozvojových plochách bydlení řešit pro bydlící 1 stání / 60 m2 CUP bytů v bytových domech + pro návštěvníky 1 stání / 600 m2 CUP bytů, resp. 1 stání / 100 m2 CUP bytů    v rodinných domech + pro návštěvníky 1 stání / 1 000 m2 CUP bytů v rodinných</w:t>
      </w:r>
      <w:r>
        <w:rPr>
          <w:spacing w:val="-34"/>
          <w:sz w:val="22"/>
        </w:rPr>
        <w:t> </w:t>
      </w:r>
      <w:r>
        <w:rPr>
          <w:sz w:val="22"/>
        </w:rPr>
        <w:t>domech.</w:t>
      </w:r>
    </w:p>
    <w:p>
      <w:pPr>
        <w:spacing w:after="0" w:line="240" w:lineRule="auto"/>
        <w:jc w:val="both"/>
        <w:rPr>
          <w:sz w:val="22"/>
        </w:rPr>
        <w:sectPr>
          <w:pgSz w:w="11900" w:h="16840"/>
          <w:pgMar w:header="557" w:footer="582" w:top="760" w:bottom="780" w:left="960" w:right="980"/>
        </w:sectPr>
      </w:pPr>
    </w:p>
    <w:p>
      <w:pPr>
        <w:pStyle w:val="BodyText"/>
        <w:spacing w:before="1"/>
        <w:ind w:left="0" w:firstLine="0"/>
        <w:jc w:val="left"/>
      </w:pPr>
    </w:p>
    <w:p>
      <w:pPr>
        <w:pStyle w:val="ListParagraph"/>
        <w:numPr>
          <w:ilvl w:val="0"/>
          <w:numId w:val="1"/>
        </w:numPr>
        <w:tabs>
          <w:tab w:pos="1024" w:val="left" w:leader="none"/>
          <w:tab w:pos="1025" w:val="left" w:leader="none"/>
        </w:tabs>
        <w:spacing w:line="242" w:lineRule="auto" w:before="101" w:after="0"/>
        <w:ind w:left="1024" w:right="147" w:hanging="852"/>
        <w:jc w:val="both"/>
        <w:rPr>
          <w:sz w:val="22"/>
        </w:rPr>
      </w:pPr>
      <w:r>
        <w:rPr>
          <w:sz w:val="22"/>
        </w:rPr>
        <w:t>Z hlediska </w:t>
      </w:r>
      <w:r>
        <w:rPr>
          <w:b/>
          <w:sz w:val="22"/>
        </w:rPr>
        <w:t>odstavováním vozidel obyvatel </w:t>
      </w:r>
      <w:r>
        <w:rPr>
          <w:sz w:val="22"/>
        </w:rPr>
        <w:t>jednotlivých částí města přednostně řešit situaci s na sídlišti Střelecký vrch, zde doplnit kapacitu 260 stání v hromadných garážích při Liberecké</w:t>
      </w:r>
      <w:r>
        <w:rPr>
          <w:spacing w:val="-3"/>
          <w:sz w:val="22"/>
        </w:rPr>
        <w:t> </w:t>
      </w:r>
      <w:r>
        <w:rPr>
          <w:sz w:val="22"/>
        </w:rPr>
        <w:t>ulici,</w:t>
      </w:r>
    </w:p>
    <w:p>
      <w:pPr>
        <w:pStyle w:val="ListParagraph"/>
        <w:numPr>
          <w:ilvl w:val="0"/>
          <w:numId w:val="1"/>
        </w:numPr>
        <w:tabs>
          <w:tab w:pos="1024" w:val="left" w:leader="none"/>
          <w:tab w:pos="1025" w:val="left" w:leader="none"/>
        </w:tabs>
        <w:spacing w:line="240" w:lineRule="auto" w:before="73" w:after="0"/>
        <w:ind w:left="1024" w:right="146" w:hanging="852"/>
        <w:jc w:val="both"/>
        <w:rPr>
          <w:sz w:val="22"/>
        </w:rPr>
      </w:pPr>
      <w:r>
        <w:rPr>
          <w:b/>
          <w:sz w:val="22"/>
        </w:rPr>
        <w:t>Parkovací místa pro návštěvníky </w:t>
      </w:r>
      <w:r>
        <w:rPr>
          <w:sz w:val="22"/>
        </w:rPr>
        <w:t>města v jeho centru výrazně omezit na plochách veřejných prostranství (P) ve prospěch krátkodobých vyhrazených stání pro znevýhodněné a dopravní</w:t>
      </w:r>
      <w:r>
        <w:rPr>
          <w:spacing w:val="-4"/>
          <w:sz w:val="22"/>
        </w:rPr>
        <w:t> </w:t>
      </w:r>
      <w:r>
        <w:rPr>
          <w:sz w:val="22"/>
        </w:rPr>
        <w:t>obsluhu,</w:t>
      </w:r>
    </w:p>
    <w:p>
      <w:pPr>
        <w:pStyle w:val="ListParagraph"/>
        <w:numPr>
          <w:ilvl w:val="0"/>
          <w:numId w:val="2"/>
        </w:numPr>
        <w:tabs>
          <w:tab w:pos="1024" w:val="left" w:leader="none"/>
          <w:tab w:pos="1025" w:val="left" w:leader="none"/>
        </w:tabs>
        <w:spacing w:line="242" w:lineRule="auto" w:before="60" w:after="0"/>
        <w:ind w:left="1024" w:right="147" w:hanging="852"/>
        <w:jc w:val="both"/>
        <w:rPr>
          <w:sz w:val="22"/>
        </w:rPr>
      </w:pPr>
      <w:r>
        <w:rPr>
          <w:sz w:val="22"/>
        </w:rPr>
        <w:t>pokrytí neuspokojených potřeb parkování vozidel </w:t>
      </w:r>
      <w:r>
        <w:rPr>
          <w:b/>
          <w:sz w:val="22"/>
        </w:rPr>
        <w:t>pracujících a obyvatel </w:t>
      </w:r>
      <w:r>
        <w:rPr>
          <w:sz w:val="22"/>
        </w:rPr>
        <w:t>centra řešit přednostně na příslušných plochách s rozdílným způsobem využití</w:t>
      </w:r>
      <w:r>
        <w:rPr>
          <w:spacing w:val="-9"/>
          <w:sz w:val="22"/>
        </w:rPr>
        <w:t> </w:t>
      </w:r>
      <w:r>
        <w:rPr>
          <w:sz w:val="22"/>
        </w:rPr>
        <w:t>(C),</w:t>
      </w:r>
    </w:p>
    <w:p>
      <w:pPr>
        <w:pStyle w:val="ListParagraph"/>
        <w:numPr>
          <w:ilvl w:val="0"/>
          <w:numId w:val="2"/>
        </w:numPr>
        <w:tabs>
          <w:tab w:pos="1024" w:val="left" w:leader="none"/>
          <w:tab w:pos="1025" w:val="left" w:leader="none"/>
        </w:tabs>
        <w:spacing w:line="240" w:lineRule="auto" w:before="57" w:after="0"/>
        <w:ind w:left="1024" w:right="146" w:hanging="852"/>
        <w:jc w:val="both"/>
        <w:rPr>
          <w:sz w:val="22"/>
        </w:rPr>
      </w:pPr>
      <w:r>
        <w:rPr>
          <w:sz w:val="22"/>
        </w:rPr>
        <w:t>v případě příznivé docházkové vzdálenosti řešit i na jiných plochách, jejichž podmínky pro využití a uspořádání to umožňují - zejména na plochách smíšených aktivit (A), výroby a skladování (E), dopravní infrastruktury-vybavení</w:t>
      </w:r>
      <w:r>
        <w:rPr>
          <w:spacing w:val="-9"/>
          <w:sz w:val="22"/>
        </w:rPr>
        <w:t> </w:t>
      </w:r>
      <w:r>
        <w:rPr>
          <w:sz w:val="22"/>
        </w:rPr>
        <w:t>(G).</w:t>
      </w:r>
    </w:p>
    <w:p>
      <w:pPr>
        <w:pStyle w:val="ListParagraph"/>
        <w:numPr>
          <w:ilvl w:val="0"/>
          <w:numId w:val="1"/>
        </w:numPr>
        <w:tabs>
          <w:tab w:pos="1024" w:val="left" w:leader="none"/>
          <w:tab w:pos="1025" w:val="left" w:leader="none"/>
        </w:tabs>
        <w:spacing w:line="240" w:lineRule="auto" w:before="58" w:after="48"/>
        <w:ind w:left="1024" w:right="0" w:hanging="853"/>
        <w:jc w:val="both"/>
        <w:rPr>
          <w:sz w:val="22"/>
        </w:rPr>
      </w:pPr>
      <w:r>
        <w:rPr>
          <w:sz w:val="22"/>
        </w:rPr>
        <w:t>Hlavní rozvojové plochy pro veřejné parkování jsou vyznačeny v Hlavním výkresu</w:t>
      </w:r>
      <w:r>
        <w:rPr>
          <w:spacing w:val="-24"/>
          <w:sz w:val="22"/>
        </w:rPr>
        <w:t> </w:t>
      </w:r>
      <w:r>
        <w:rPr>
          <w:sz w:val="22"/>
        </w:rPr>
        <w:t>(2):</w:t>
      </w:r>
    </w:p>
    <w:tbl>
      <w:tblPr>
        <w:tblW w:w="0" w:type="auto"/>
        <w:jc w:val="left"/>
        <w:tblInd w:w="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6"/>
        <w:gridCol w:w="4668"/>
        <w:gridCol w:w="3094"/>
      </w:tblGrid>
      <w:tr>
        <w:trPr>
          <w:trHeight w:val="816" w:hRule="atLeast"/>
        </w:trPr>
        <w:tc>
          <w:tcPr>
            <w:tcW w:w="786" w:type="dxa"/>
          </w:tcPr>
          <w:p>
            <w:pPr>
              <w:pStyle w:val="TableParagraph"/>
              <w:spacing w:before="15"/>
              <w:ind w:left="50"/>
              <w:rPr>
                <w:rFonts w:ascii="Times New Roman"/>
                <w:sz w:val="22"/>
              </w:rPr>
            </w:pPr>
            <w:r>
              <w:rPr>
                <w:rFonts w:ascii="Times New Roman"/>
                <w:w w:val="100"/>
                <w:sz w:val="22"/>
              </w:rPr>
              <w:t>-</w:t>
            </w:r>
          </w:p>
          <w:p>
            <w:pPr>
              <w:pStyle w:val="TableParagraph"/>
              <w:spacing w:before="18"/>
              <w:ind w:left="50"/>
              <w:rPr>
                <w:rFonts w:ascii="Times New Roman"/>
                <w:sz w:val="22"/>
              </w:rPr>
            </w:pPr>
            <w:r>
              <w:rPr>
                <w:rFonts w:ascii="Times New Roman"/>
                <w:w w:val="100"/>
                <w:sz w:val="22"/>
              </w:rPr>
              <w:t>-</w:t>
            </w:r>
          </w:p>
          <w:p>
            <w:pPr>
              <w:pStyle w:val="TableParagraph"/>
              <w:spacing w:line="236" w:lineRule="exact" w:before="21"/>
              <w:ind w:left="50"/>
              <w:rPr>
                <w:rFonts w:ascii="Times New Roman"/>
                <w:sz w:val="22"/>
              </w:rPr>
            </w:pPr>
            <w:r>
              <w:rPr>
                <w:rFonts w:ascii="Times New Roman"/>
                <w:w w:val="100"/>
                <w:sz w:val="22"/>
              </w:rPr>
              <w:t>-</w:t>
            </w:r>
          </w:p>
        </w:tc>
        <w:tc>
          <w:tcPr>
            <w:tcW w:w="4668" w:type="dxa"/>
          </w:tcPr>
          <w:p>
            <w:pPr>
              <w:pStyle w:val="TableParagraph"/>
              <w:spacing w:line="256" w:lineRule="auto" w:before="14"/>
              <w:ind w:left="116" w:right="1792"/>
              <w:rPr>
                <w:sz w:val="22"/>
              </w:rPr>
            </w:pPr>
            <w:r>
              <w:rPr>
                <w:sz w:val="22"/>
              </w:rPr>
              <w:t>Pobřežní ulice (plocha 6.G) Revoluční ulice (plocha 9.S)</w:t>
            </w:r>
          </w:p>
          <w:p>
            <w:pPr>
              <w:pStyle w:val="TableParagraph"/>
              <w:spacing w:line="237" w:lineRule="exact" w:before="4"/>
              <w:ind w:left="116"/>
              <w:rPr>
                <w:sz w:val="22"/>
              </w:rPr>
            </w:pPr>
            <w:r>
              <w:rPr>
                <w:sz w:val="22"/>
              </w:rPr>
              <w:t>Liberecká ulice při přeložce III/27250 (2.M)</w:t>
            </w:r>
          </w:p>
        </w:tc>
        <w:tc>
          <w:tcPr>
            <w:tcW w:w="3094" w:type="dxa"/>
          </w:tcPr>
          <w:p>
            <w:pPr>
              <w:pStyle w:val="TableParagraph"/>
              <w:spacing w:before="14"/>
              <w:ind w:left="392"/>
              <w:rPr>
                <w:sz w:val="22"/>
              </w:rPr>
            </w:pPr>
            <w:r>
              <w:rPr>
                <w:sz w:val="22"/>
              </w:rPr>
              <w:t>50</w:t>
            </w:r>
            <w:r>
              <w:rPr>
                <w:spacing w:val="-2"/>
                <w:sz w:val="22"/>
              </w:rPr>
              <w:t> </w:t>
            </w:r>
            <w:r>
              <w:rPr>
                <w:sz w:val="22"/>
              </w:rPr>
              <w:t>stání</w:t>
            </w:r>
          </w:p>
          <w:p>
            <w:pPr>
              <w:pStyle w:val="TableParagraph"/>
              <w:spacing w:before="18"/>
              <w:ind w:left="392"/>
              <w:rPr>
                <w:sz w:val="22"/>
              </w:rPr>
            </w:pPr>
            <w:r>
              <w:rPr>
                <w:sz w:val="22"/>
              </w:rPr>
              <w:t>40</w:t>
            </w:r>
            <w:r>
              <w:rPr>
                <w:spacing w:val="-2"/>
                <w:sz w:val="22"/>
              </w:rPr>
              <w:t> </w:t>
            </w:r>
            <w:r>
              <w:rPr>
                <w:sz w:val="22"/>
              </w:rPr>
              <w:t>stání</w:t>
            </w:r>
          </w:p>
          <w:p>
            <w:pPr>
              <w:pStyle w:val="TableParagraph"/>
              <w:spacing w:line="237" w:lineRule="exact" w:before="21"/>
              <w:ind w:left="392"/>
              <w:rPr>
                <w:sz w:val="22"/>
              </w:rPr>
            </w:pPr>
            <w:r>
              <w:rPr>
                <w:sz w:val="22"/>
              </w:rPr>
              <w:t>30</w:t>
            </w:r>
            <w:r>
              <w:rPr>
                <w:spacing w:val="-2"/>
                <w:sz w:val="22"/>
              </w:rPr>
              <w:t> </w:t>
            </w:r>
            <w:r>
              <w:rPr>
                <w:sz w:val="22"/>
              </w:rPr>
              <w:t>stání</w:t>
            </w:r>
          </w:p>
        </w:tc>
      </w:tr>
      <w:tr>
        <w:trPr>
          <w:trHeight w:val="272" w:hRule="atLeast"/>
        </w:trPr>
        <w:tc>
          <w:tcPr>
            <w:tcW w:w="786" w:type="dxa"/>
          </w:tcPr>
          <w:p>
            <w:pPr>
              <w:pStyle w:val="TableParagraph"/>
              <w:spacing w:line="235" w:lineRule="exact" w:before="17"/>
              <w:ind w:left="50"/>
              <w:rPr>
                <w:rFonts w:ascii="Times New Roman"/>
                <w:sz w:val="22"/>
              </w:rPr>
            </w:pPr>
            <w:r>
              <w:rPr>
                <w:rFonts w:ascii="Times New Roman"/>
                <w:w w:val="100"/>
                <w:sz w:val="22"/>
              </w:rPr>
              <w:t>-</w:t>
            </w:r>
          </w:p>
        </w:tc>
        <w:tc>
          <w:tcPr>
            <w:tcW w:w="4668" w:type="dxa"/>
          </w:tcPr>
          <w:p>
            <w:pPr>
              <w:pStyle w:val="TableParagraph"/>
              <w:spacing w:line="236" w:lineRule="exact" w:before="16"/>
              <w:ind w:left="116"/>
              <w:rPr>
                <w:sz w:val="22"/>
              </w:rPr>
            </w:pPr>
            <w:r>
              <w:rPr>
                <w:sz w:val="22"/>
              </w:rPr>
              <w:t>křížení I/13 a II/592 (plocha 78.C, 83.A)</w:t>
            </w:r>
          </w:p>
        </w:tc>
        <w:tc>
          <w:tcPr>
            <w:tcW w:w="3094" w:type="dxa"/>
          </w:tcPr>
          <w:p>
            <w:pPr>
              <w:pStyle w:val="TableParagraph"/>
              <w:spacing w:line="236" w:lineRule="exact" w:before="16"/>
              <w:ind w:left="392"/>
              <w:rPr>
                <w:sz w:val="22"/>
              </w:rPr>
            </w:pPr>
            <w:r>
              <w:rPr>
                <w:sz w:val="22"/>
              </w:rPr>
              <w:t>50 stání</w:t>
            </w:r>
          </w:p>
        </w:tc>
      </w:tr>
      <w:tr>
        <w:trPr>
          <w:trHeight w:val="272" w:hRule="atLeast"/>
        </w:trPr>
        <w:tc>
          <w:tcPr>
            <w:tcW w:w="786" w:type="dxa"/>
          </w:tcPr>
          <w:p>
            <w:pPr>
              <w:pStyle w:val="TableParagraph"/>
              <w:spacing w:line="236" w:lineRule="exact" w:before="16"/>
              <w:ind w:left="50"/>
              <w:rPr>
                <w:rFonts w:ascii="Times New Roman"/>
                <w:sz w:val="22"/>
              </w:rPr>
            </w:pPr>
            <w:r>
              <w:rPr>
                <w:rFonts w:ascii="Times New Roman"/>
                <w:w w:val="100"/>
                <w:sz w:val="22"/>
              </w:rPr>
              <w:t>-</w:t>
            </w:r>
          </w:p>
        </w:tc>
        <w:tc>
          <w:tcPr>
            <w:tcW w:w="4668" w:type="dxa"/>
          </w:tcPr>
          <w:p>
            <w:pPr>
              <w:pStyle w:val="TableParagraph"/>
              <w:spacing w:line="237" w:lineRule="exact" w:before="15"/>
              <w:ind w:left="116"/>
              <w:rPr>
                <w:sz w:val="22"/>
              </w:rPr>
            </w:pPr>
            <w:r>
              <w:rPr>
                <w:sz w:val="22"/>
              </w:rPr>
              <w:t>přednádražní prostor (plocha 76.P)</w:t>
            </w:r>
          </w:p>
        </w:tc>
        <w:tc>
          <w:tcPr>
            <w:tcW w:w="3094" w:type="dxa"/>
          </w:tcPr>
          <w:p>
            <w:pPr>
              <w:pStyle w:val="TableParagraph"/>
              <w:spacing w:line="237" w:lineRule="exact" w:before="15"/>
              <w:ind w:left="392"/>
              <w:rPr>
                <w:sz w:val="22"/>
              </w:rPr>
            </w:pPr>
            <w:r>
              <w:rPr>
                <w:sz w:val="22"/>
              </w:rPr>
              <w:t>60 stání</w:t>
            </w:r>
          </w:p>
        </w:tc>
      </w:tr>
      <w:tr>
        <w:trPr>
          <w:trHeight w:val="273" w:hRule="atLeast"/>
        </w:trPr>
        <w:tc>
          <w:tcPr>
            <w:tcW w:w="786" w:type="dxa"/>
          </w:tcPr>
          <w:p>
            <w:pPr>
              <w:pStyle w:val="TableParagraph"/>
              <w:spacing w:line="236" w:lineRule="exact" w:before="17"/>
              <w:ind w:left="50"/>
              <w:rPr>
                <w:rFonts w:ascii="Times New Roman"/>
                <w:sz w:val="22"/>
              </w:rPr>
            </w:pPr>
            <w:r>
              <w:rPr>
                <w:rFonts w:ascii="Times New Roman"/>
                <w:w w:val="100"/>
                <w:sz w:val="22"/>
              </w:rPr>
              <w:t>-</w:t>
            </w:r>
          </w:p>
        </w:tc>
        <w:tc>
          <w:tcPr>
            <w:tcW w:w="4668" w:type="dxa"/>
          </w:tcPr>
          <w:p>
            <w:pPr>
              <w:pStyle w:val="TableParagraph"/>
              <w:spacing w:line="237" w:lineRule="exact" w:before="16"/>
              <w:ind w:left="116"/>
              <w:rPr>
                <w:sz w:val="22"/>
              </w:rPr>
            </w:pPr>
            <w:r>
              <w:rPr>
                <w:sz w:val="22"/>
              </w:rPr>
              <w:t>koupaliště</w:t>
            </w:r>
          </w:p>
        </w:tc>
        <w:tc>
          <w:tcPr>
            <w:tcW w:w="3094" w:type="dxa"/>
          </w:tcPr>
          <w:p>
            <w:pPr>
              <w:pStyle w:val="TableParagraph"/>
              <w:spacing w:line="237" w:lineRule="exact" w:before="16"/>
              <w:ind w:left="392"/>
              <w:rPr>
                <w:sz w:val="22"/>
              </w:rPr>
            </w:pPr>
            <w:r>
              <w:rPr>
                <w:sz w:val="22"/>
              </w:rPr>
              <w:t>40 stání</w:t>
            </w:r>
          </w:p>
        </w:tc>
      </w:tr>
      <w:tr>
        <w:trPr>
          <w:trHeight w:val="273" w:hRule="atLeast"/>
        </w:trPr>
        <w:tc>
          <w:tcPr>
            <w:tcW w:w="786" w:type="dxa"/>
          </w:tcPr>
          <w:p>
            <w:pPr>
              <w:pStyle w:val="TableParagraph"/>
              <w:spacing w:line="236" w:lineRule="exact" w:before="17"/>
              <w:ind w:left="50"/>
              <w:rPr>
                <w:rFonts w:ascii="Times New Roman"/>
                <w:sz w:val="22"/>
              </w:rPr>
            </w:pPr>
            <w:r>
              <w:rPr>
                <w:rFonts w:ascii="Times New Roman"/>
                <w:w w:val="100"/>
                <w:sz w:val="22"/>
              </w:rPr>
              <w:t>-</w:t>
            </w:r>
          </w:p>
        </w:tc>
        <w:tc>
          <w:tcPr>
            <w:tcW w:w="4668" w:type="dxa"/>
          </w:tcPr>
          <w:p>
            <w:pPr>
              <w:pStyle w:val="TableParagraph"/>
              <w:spacing w:line="237" w:lineRule="exact" w:before="16"/>
              <w:ind w:left="116"/>
              <w:rPr>
                <w:sz w:val="22"/>
              </w:rPr>
            </w:pPr>
            <w:r>
              <w:rPr>
                <w:sz w:val="22"/>
              </w:rPr>
              <w:t>obchodní centrum Nádražní ulice</w:t>
            </w:r>
          </w:p>
        </w:tc>
        <w:tc>
          <w:tcPr>
            <w:tcW w:w="3094" w:type="dxa"/>
          </w:tcPr>
          <w:p>
            <w:pPr>
              <w:pStyle w:val="TableParagraph"/>
              <w:spacing w:line="237" w:lineRule="exact" w:before="16"/>
              <w:ind w:left="392"/>
              <w:rPr>
                <w:sz w:val="22"/>
              </w:rPr>
            </w:pPr>
            <w:r>
              <w:rPr>
                <w:sz w:val="22"/>
              </w:rPr>
              <w:t>20 stání nákladních vozidel</w:t>
            </w:r>
          </w:p>
        </w:tc>
      </w:tr>
      <w:tr>
        <w:trPr>
          <w:trHeight w:val="272" w:hRule="atLeast"/>
        </w:trPr>
        <w:tc>
          <w:tcPr>
            <w:tcW w:w="786" w:type="dxa"/>
          </w:tcPr>
          <w:p>
            <w:pPr>
              <w:pStyle w:val="TableParagraph"/>
              <w:spacing w:line="235" w:lineRule="exact" w:before="17"/>
              <w:ind w:left="50"/>
              <w:rPr>
                <w:rFonts w:ascii="Times New Roman"/>
                <w:sz w:val="22"/>
              </w:rPr>
            </w:pPr>
            <w:r>
              <w:rPr>
                <w:rFonts w:ascii="Times New Roman"/>
                <w:w w:val="100"/>
                <w:sz w:val="22"/>
              </w:rPr>
              <w:t>-</w:t>
            </w:r>
          </w:p>
        </w:tc>
        <w:tc>
          <w:tcPr>
            <w:tcW w:w="4668" w:type="dxa"/>
          </w:tcPr>
          <w:p>
            <w:pPr>
              <w:pStyle w:val="TableParagraph"/>
              <w:spacing w:line="236" w:lineRule="exact" w:before="16"/>
              <w:ind w:left="116"/>
              <w:rPr>
                <w:sz w:val="22"/>
              </w:rPr>
            </w:pPr>
            <w:r>
              <w:rPr>
                <w:sz w:val="22"/>
              </w:rPr>
              <w:t>Liberecká ulice u Střeleckého vrchu</w:t>
            </w:r>
          </w:p>
        </w:tc>
        <w:tc>
          <w:tcPr>
            <w:tcW w:w="3094" w:type="dxa"/>
          </w:tcPr>
          <w:p>
            <w:pPr>
              <w:pStyle w:val="TableParagraph"/>
              <w:spacing w:line="236" w:lineRule="exact" w:before="16"/>
              <w:ind w:left="392"/>
              <w:rPr>
                <w:sz w:val="22"/>
              </w:rPr>
            </w:pPr>
            <w:r>
              <w:rPr>
                <w:sz w:val="22"/>
              </w:rPr>
              <w:t>20 stání nákladních vozidel</w:t>
            </w:r>
          </w:p>
        </w:tc>
      </w:tr>
      <w:tr>
        <w:trPr>
          <w:trHeight w:val="749" w:hRule="atLeast"/>
        </w:trPr>
        <w:tc>
          <w:tcPr>
            <w:tcW w:w="786" w:type="dxa"/>
          </w:tcPr>
          <w:p>
            <w:pPr>
              <w:pStyle w:val="TableParagraph"/>
              <w:spacing w:before="16"/>
              <w:ind w:left="50"/>
              <w:rPr>
                <w:rFonts w:ascii="Times New Roman"/>
                <w:sz w:val="22"/>
              </w:rPr>
            </w:pPr>
            <w:r>
              <w:rPr>
                <w:rFonts w:ascii="Times New Roman"/>
                <w:w w:val="100"/>
                <w:sz w:val="22"/>
              </w:rPr>
              <w:t>-</w:t>
            </w:r>
          </w:p>
          <w:p>
            <w:pPr>
              <w:pStyle w:val="TableParagraph"/>
              <w:spacing w:line="281" w:lineRule="exact" w:before="179"/>
              <w:ind w:left="50"/>
              <w:rPr>
                <w:b/>
                <w:sz w:val="26"/>
              </w:rPr>
            </w:pPr>
            <w:r>
              <w:rPr>
                <w:b/>
                <w:sz w:val="26"/>
              </w:rPr>
              <w:t>D.1.5</w:t>
            </w:r>
          </w:p>
        </w:tc>
        <w:tc>
          <w:tcPr>
            <w:tcW w:w="4668" w:type="dxa"/>
          </w:tcPr>
          <w:p>
            <w:pPr>
              <w:pStyle w:val="TableParagraph"/>
              <w:spacing w:before="15"/>
              <w:ind w:left="116"/>
              <w:rPr>
                <w:sz w:val="22"/>
              </w:rPr>
            </w:pPr>
            <w:r>
              <w:rPr>
                <w:sz w:val="22"/>
              </w:rPr>
              <w:t>průmyslový areál u nádraží (plocha 82.A)</w:t>
            </w:r>
          </w:p>
          <w:p>
            <w:pPr>
              <w:pStyle w:val="TableParagraph"/>
              <w:spacing w:line="281" w:lineRule="exact" w:before="180"/>
              <w:ind w:left="116"/>
              <w:rPr>
                <w:b/>
                <w:sz w:val="26"/>
              </w:rPr>
            </w:pPr>
            <w:r>
              <w:rPr>
                <w:b/>
                <w:sz w:val="26"/>
              </w:rPr>
              <w:t>PĚŠÍ A CYKLISTICKÁ DOPRAVA</w:t>
            </w:r>
          </w:p>
        </w:tc>
        <w:tc>
          <w:tcPr>
            <w:tcW w:w="3094" w:type="dxa"/>
          </w:tcPr>
          <w:p>
            <w:pPr>
              <w:pStyle w:val="TableParagraph"/>
              <w:spacing w:before="15"/>
              <w:ind w:left="392"/>
              <w:rPr>
                <w:sz w:val="22"/>
              </w:rPr>
            </w:pPr>
            <w:r>
              <w:rPr>
                <w:sz w:val="22"/>
              </w:rPr>
              <w:t>30 stání nákladních vozidel</w:t>
            </w:r>
          </w:p>
        </w:tc>
      </w:tr>
    </w:tbl>
    <w:p>
      <w:pPr>
        <w:pStyle w:val="ListParagraph"/>
        <w:numPr>
          <w:ilvl w:val="0"/>
          <w:numId w:val="1"/>
        </w:numPr>
        <w:tabs>
          <w:tab w:pos="1024" w:val="left" w:leader="none"/>
          <w:tab w:pos="1025" w:val="left" w:leader="none"/>
        </w:tabs>
        <w:spacing w:line="240" w:lineRule="auto" w:before="58" w:after="0"/>
        <w:ind w:left="1024" w:right="146" w:hanging="852"/>
        <w:jc w:val="both"/>
        <w:rPr>
          <w:sz w:val="22"/>
        </w:rPr>
      </w:pPr>
      <w:r>
        <w:rPr>
          <w:b/>
          <w:sz w:val="22"/>
        </w:rPr>
        <w:t>Účelovou </w:t>
      </w:r>
      <w:r>
        <w:rPr>
          <w:sz w:val="22"/>
        </w:rPr>
        <w:t>pěší a cyklistickou dopravu považovat za přirozenou součást ploch veřejných prostranství (P) a v rámci regulativů i ostatních ploch s rozdílným způsobem</w:t>
      </w:r>
      <w:r>
        <w:rPr>
          <w:spacing w:val="-20"/>
          <w:sz w:val="22"/>
        </w:rPr>
        <w:t> </w:t>
      </w:r>
      <w:r>
        <w:rPr>
          <w:sz w:val="22"/>
        </w:rPr>
        <w:t>využití,</w:t>
      </w:r>
    </w:p>
    <w:p>
      <w:pPr>
        <w:pStyle w:val="ListParagraph"/>
        <w:numPr>
          <w:ilvl w:val="0"/>
          <w:numId w:val="2"/>
        </w:numPr>
        <w:tabs>
          <w:tab w:pos="1024" w:val="left" w:leader="none"/>
          <w:tab w:pos="1025" w:val="left" w:leader="none"/>
        </w:tabs>
        <w:spacing w:line="240" w:lineRule="auto" w:before="61" w:after="0"/>
        <w:ind w:left="1024" w:right="146" w:hanging="852"/>
        <w:jc w:val="both"/>
        <w:rPr>
          <w:sz w:val="22"/>
        </w:rPr>
      </w:pPr>
      <w:r>
        <w:rPr>
          <w:sz w:val="22"/>
        </w:rPr>
        <w:t>tam, kde to vyžadují funkční a vlastnické poměry v území, respektovat vymezené úseky cyklostezek jako plochy veřejných prostranství (P) s šířkou odpovídající minimální kategorii  MO1k   -/4/30,  při  umisťování  cyklostezek   do  volné  krajiny  počítat   vždy     s umístěním aspoň jednostranného pásu doprovodné zeleně v šíři 3</w:t>
      </w:r>
      <w:r>
        <w:rPr>
          <w:spacing w:val="-11"/>
          <w:sz w:val="22"/>
        </w:rPr>
        <w:t> </w:t>
      </w:r>
      <w:r>
        <w:rPr>
          <w:sz w:val="22"/>
        </w:rPr>
        <w:t>m.</w:t>
      </w:r>
    </w:p>
    <w:p>
      <w:pPr>
        <w:pStyle w:val="ListParagraph"/>
        <w:numPr>
          <w:ilvl w:val="0"/>
          <w:numId w:val="1"/>
        </w:numPr>
        <w:tabs>
          <w:tab w:pos="1024" w:val="left" w:leader="none"/>
          <w:tab w:pos="1025" w:val="left" w:leader="none"/>
        </w:tabs>
        <w:spacing w:line="242" w:lineRule="auto" w:before="76" w:after="0"/>
        <w:ind w:left="1024" w:right="145" w:hanging="852"/>
        <w:jc w:val="both"/>
        <w:rPr>
          <w:sz w:val="22"/>
        </w:rPr>
      </w:pPr>
      <w:r>
        <w:rPr>
          <w:sz w:val="22"/>
        </w:rPr>
        <w:t>Umístění </w:t>
      </w:r>
      <w:r>
        <w:rPr>
          <w:b/>
          <w:sz w:val="22"/>
        </w:rPr>
        <w:t>pruhů pro bezmotorovou </w:t>
      </w:r>
      <w:r>
        <w:rPr>
          <w:sz w:val="22"/>
        </w:rPr>
        <w:t>dopravu požadovat i v dopravním prostoru koridorů dopravní  infrastruktury  silniční  (M),   jejichž  profily  jsou  předepsány  jako  minimální    s ohledem na zásah do dotčeného</w:t>
      </w:r>
      <w:r>
        <w:rPr>
          <w:spacing w:val="-6"/>
          <w:sz w:val="22"/>
        </w:rPr>
        <w:t> </w:t>
      </w:r>
      <w:r>
        <w:rPr>
          <w:sz w:val="22"/>
        </w:rPr>
        <w:t>území.</w:t>
      </w:r>
    </w:p>
    <w:p>
      <w:pPr>
        <w:pStyle w:val="ListParagraph"/>
        <w:numPr>
          <w:ilvl w:val="0"/>
          <w:numId w:val="1"/>
        </w:numPr>
        <w:tabs>
          <w:tab w:pos="1024" w:val="left" w:leader="none"/>
          <w:tab w:pos="1025" w:val="left" w:leader="none"/>
        </w:tabs>
        <w:spacing w:line="240" w:lineRule="auto" w:before="55" w:after="0"/>
        <w:ind w:left="1024" w:right="146" w:hanging="853"/>
        <w:jc w:val="both"/>
        <w:rPr>
          <w:sz w:val="22"/>
        </w:rPr>
      </w:pPr>
      <w:r>
        <w:rPr>
          <w:sz w:val="22"/>
        </w:rPr>
        <w:t>Respektovat radiální charakter  systému hlavních účelových </w:t>
      </w:r>
      <w:r>
        <w:rPr>
          <w:b/>
          <w:sz w:val="22"/>
        </w:rPr>
        <w:t>pěších tahů </w:t>
      </w:r>
      <w:r>
        <w:rPr>
          <w:sz w:val="22"/>
        </w:rPr>
        <w:t>z centra města k jednotlivým funkčním složkám v území,</w:t>
      </w:r>
    </w:p>
    <w:p>
      <w:pPr>
        <w:pStyle w:val="ListParagraph"/>
        <w:numPr>
          <w:ilvl w:val="0"/>
          <w:numId w:val="2"/>
        </w:numPr>
        <w:tabs>
          <w:tab w:pos="1024" w:val="left" w:leader="none"/>
          <w:tab w:pos="1025" w:val="left" w:leader="none"/>
        </w:tabs>
        <w:spacing w:line="240" w:lineRule="auto" w:before="60" w:after="0"/>
        <w:ind w:left="1025" w:right="0" w:hanging="853"/>
        <w:jc w:val="both"/>
        <w:rPr>
          <w:sz w:val="22"/>
        </w:rPr>
      </w:pPr>
      <w:r>
        <w:rPr>
          <w:sz w:val="22"/>
        </w:rPr>
        <w:t>hlavní pěší trasy navazovat na pěší zónu tvořenou reorganizovaným prostorem</w:t>
      </w:r>
      <w:r>
        <w:rPr>
          <w:spacing w:val="18"/>
          <w:sz w:val="22"/>
        </w:rPr>
        <w:t> </w:t>
      </w:r>
      <w:r>
        <w:rPr>
          <w:sz w:val="22"/>
        </w:rPr>
        <w:t>náměstí</w:t>
      </w:r>
    </w:p>
    <w:p>
      <w:pPr>
        <w:pStyle w:val="ListParagraph"/>
        <w:numPr>
          <w:ilvl w:val="3"/>
          <w:numId w:val="5"/>
        </w:numPr>
        <w:tabs>
          <w:tab w:pos="1270" w:val="left" w:leader="none"/>
        </w:tabs>
        <w:spacing w:line="240" w:lineRule="auto" w:before="1" w:after="0"/>
        <w:ind w:left="1269" w:right="0" w:hanging="246"/>
        <w:jc w:val="both"/>
        <w:rPr>
          <w:sz w:val="22"/>
        </w:rPr>
      </w:pPr>
      <w:r>
        <w:rPr>
          <w:sz w:val="22"/>
        </w:rPr>
        <w:t>máje a navazujících úseků ulic Žitavská, Frýdlantská, Liberecká,</w:t>
      </w:r>
      <w:r>
        <w:rPr>
          <w:spacing w:val="-16"/>
          <w:sz w:val="22"/>
        </w:rPr>
        <w:t> </w:t>
      </w:r>
      <w:r>
        <w:rPr>
          <w:sz w:val="22"/>
        </w:rPr>
        <w:t>Turpišova,</w:t>
      </w:r>
    </w:p>
    <w:p>
      <w:pPr>
        <w:pStyle w:val="ListParagraph"/>
        <w:numPr>
          <w:ilvl w:val="0"/>
          <w:numId w:val="2"/>
        </w:numPr>
        <w:tabs>
          <w:tab w:pos="1024" w:val="left" w:leader="none"/>
          <w:tab w:pos="1025" w:val="left" w:leader="none"/>
        </w:tabs>
        <w:spacing w:line="240" w:lineRule="auto" w:before="59" w:after="0"/>
        <w:ind w:left="1024" w:right="148" w:hanging="852"/>
        <w:jc w:val="both"/>
        <w:rPr>
          <w:sz w:val="22"/>
        </w:rPr>
      </w:pPr>
      <w:r>
        <w:rPr>
          <w:sz w:val="22"/>
        </w:rPr>
        <w:t>úpravami   komunikačního    skeletu   města    (vnitřní   okruh,    tangenty)    řešit    kolize s automobilovou dopravou.</w:t>
      </w:r>
    </w:p>
    <w:p>
      <w:pPr>
        <w:pStyle w:val="ListParagraph"/>
        <w:numPr>
          <w:ilvl w:val="0"/>
          <w:numId w:val="1"/>
        </w:numPr>
        <w:tabs>
          <w:tab w:pos="1024" w:val="left" w:leader="none"/>
          <w:tab w:pos="1025" w:val="left" w:leader="none"/>
        </w:tabs>
        <w:spacing w:line="240" w:lineRule="auto" w:before="59" w:after="0"/>
        <w:ind w:left="1024" w:right="145" w:hanging="853"/>
        <w:jc w:val="both"/>
        <w:rPr>
          <w:sz w:val="22"/>
        </w:rPr>
      </w:pPr>
      <w:r>
        <w:rPr>
          <w:sz w:val="22"/>
        </w:rPr>
        <w:t>Rozvíjet turistické, lyžařské a cyklistické trasy vymezené na severovýchodním okraji města v rámci </w:t>
      </w:r>
      <w:r>
        <w:rPr>
          <w:b/>
          <w:sz w:val="22"/>
        </w:rPr>
        <w:t>multifunkčního turistického koridoru </w:t>
      </w:r>
      <w:r>
        <w:rPr>
          <w:sz w:val="22"/>
        </w:rPr>
        <w:t>(MTK) Nová Hřebenovka, vytvářet zde územní podmínky pro odstranění kolize pěších turistů a</w:t>
      </w:r>
      <w:r>
        <w:rPr>
          <w:spacing w:val="-13"/>
          <w:sz w:val="22"/>
        </w:rPr>
        <w:t> </w:t>
      </w:r>
      <w:r>
        <w:rPr>
          <w:sz w:val="22"/>
        </w:rPr>
        <w:t>cyklistů.</w:t>
      </w:r>
    </w:p>
    <w:p>
      <w:pPr>
        <w:pStyle w:val="ListParagraph"/>
        <w:numPr>
          <w:ilvl w:val="0"/>
          <w:numId w:val="1"/>
        </w:numPr>
        <w:tabs>
          <w:tab w:pos="1024" w:val="left" w:leader="none"/>
          <w:tab w:pos="1026" w:val="left" w:leader="none"/>
        </w:tabs>
        <w:spacing w:line="240" w:lineRule="auto" w:before="57" w:after="0"/>
        <w:ind w:left="1024" w:right="144" w:hanging="852"/>
        <w:jc w:val="both"/>
        <w:rPr>
          <w:sz w:val="22"/>
        </w:rPr>
      </w:pPr>
      <w:r>
        <w:rPr>
          <w:sz w:val="22"/>
        </w:rPr>
        <w:t>Na cyklotrase č. 14 Hrádek nad Nisou - Chrastava - Liberec v rámci </w:t>
      </w:r>
      <w:r>
        <w:rPr>
          <w:b/>
          <w:sz w:val="22"/>
        </w:rPr>
        <w:t>MTK Lužická Nisa   </w:t>
      </w:r>
      <w:r>
        <w:rPr>
          <w:sz w:val="22"/>
        </w:rPr>
        <w:t>s přeshraničními vazbami na SRN a Polsko rozšiřovat úseky charakteru </w:t>
      </w:r>
      <w:r>
        <w:rPr>
          <w:b/>
          <w:sz w:val="22"/>
        </w:rPr>
        <w:t>cyklostezek, </w:t>
      </w:r>
      <w:r>
        <w:rPr>
          <w:sz w:val="22"/>
        </w:rPr>
        <w:t>v prostoru Střeleckého vrchu převést ze silnice III. třídy do samostatné stezky podél lesoparku a rybníků za</w:t>
      </w:r>
      <w:r>
        <w:rPr>
          <w:spacing w:val="-2"/>
          <w:sz w:val="22"/>
        </w:rPr>
        <w:t> </w:t>
      </w:r>
      <w:r>
        <w:rPr>
          <w:sz w:val="22"/>
        </w:rPr>
        <w:t>sídlištěm,</w:t>
      </w:r>
    </w:p>
    <w:p>
      <w:pPr>
        <w:pStyle w:val="ListParagraph"/>
        <w:numPr>
          <w:ilvl w:val="0"/>
          <w:numId w:val="2"/>
        </w:numPr>
        <w:tabs>
          <w:tab w:pos="1024" w:val="left" w:leader="none"/>
          <w:tab w:pos="1025" w:val="left" w:leader="none"/>
        </w:tabs>
        <w:spacing w:line="240" w:lineRule="auto" w:before="63" w:after="0"/>
        <w:ind w:left="1025" w:right="147" w:hanging="853"/>
        <w:jc w:val="both"/>
        <w:rPr>
          <w:sz w:val="22"/>
        </w:rPr>
      </w:pPr>
      <w:r>
        <w:rPr>
          <w:sz w:val="22"/>
        </w:rPr>
        <w:t>další provozně-technická opatření pro zvýšení bezpečnosti cyklistů realizovat na silnici III/27250 v úseku sídliště Střelecký vrch - Obalovna</w:t>
      </w:r>
      <w:r>
        <w:rPr>
          <w:spacing w:val="-11"/>
          <w:sz w:val="22"/>
        </w:rPr>
        <w:t> </w:t>
      </w:r>
      <w:r>
        <w:rPr>
          <w:sz w:val="22"/>
        </w:rPr>
        <w:t>Machnín.</w:t>
      </w:r>
    </w:p>
    <w:p>
      <w:pPr>
        <w:pStyle w:val="ListParagraph"/>
        <w:numPr>
          <w:ilvl w:val="0"/>
          <w:numId w:val="1"/>
        </w:numPr>
        <w:tabs>
          <w:tab w:pos="1024" w:val="left" w:leader="none"/>
          <w:tab w:pos="1026" w:val="left" w:leader="none"/>
        </w:tabs>
        <w:spacing w:line="240" w:lineRule="auto" w:before="57" w:after="0"/>
        <w:ind w:left="1025" w:right="145" w:hanging="852"/>
        <w:jc w:val="both"/>
        <w:rPr>
          <w:sz w:val="22"/>
        </w:rPr>
      </w:pPr>
      <w:r>
        <w:rPr>
          <w:sz w:val="22"/>
        </w:rPr>
        <w:t>Stabilizovat celostátní </w:t>
      </w:r>
      <w:r>
        <w:rPr>
          <w:b/>
          <w:sz w:val="22"/>
        </w:rPr>
        <w:t>cyklotrasu č. 22 </w:t>
      </w:r>
      <w:r>
        <w:rPr>
          <w:sz w:val="22"/>
        </w:rPr>
        <w:t>Chrastava – Mníšek – Vrchlabí, provést její dílčí úpravu směřující k její segregaci od automobilové dopravy, převést v centrální části města na samostatnou stezku podél Jeřice (plocha</w:t>
      </w:r>
      <w:r>
        <w:rPr>
          <w:spacing w:val="-6"/>
          <w:sz w:val="22"/>
        </w:rPr>
        <w:t> </w:t>
      </w:r>
      <w:r>
        <w:rPr>
          <w:sz w:val="22"/>
        </w:rPr>
        <w:t>10.P).</w:t>
      </w:r>
    </w:p>
    <w:p>
      <w:pPr>
        <w:pStyle w:val="ListParagraph"/>
        <w:numPr>
          <w:ilvl w:val="0"/>
          <w:numId w:val="1"/>
        </w:numPr>
        <w:tabs>
          <w:tab w:pos="1024" w:val="left" w:leader="none"/>
          <w:tab w:pos="1026" w:val="left" w:leader="none"/>
        </w:tabs>
        <w:spacing w:line="240" w:lineRule="auto" w:before="60" w:after="0"/>
        <w:ind w:left="1025" w:right="0" w:hanging="853"/>
        <w:jc w:val="both"/>
        <w:rPr>
          <w:sz w:val="22"/>
        </w:rPr>
      </w:pPr>
      <w:r>
        <w:rPr>
          <w:sz w:val="22"/>
        </w:rPr>
        <w:t>Jako hlavní výchozí místa </w:t>
      </w:r>
      <w:r>
        <w:rPr>
          <w:b/>
          <w:sz w:val="22"/>
        </w:rPr>
        <w:t>turistických tras </w:t>
      </w:r>
      <w:r>
        <w:rPr>
          <w:sz w:val="22"/>
        </w:rPr>
        <w:t>zachovat nádraží ČD a náměstí 1.</w:t>
      </w:r>
      <w:r>
        <w:rPr>
          <w:spacing w:val="-22"/>
          <w:sz w:val="22"/>
        </w:rPr>
        <w:t> </w:t>
      </w:r>
      <w:r>
        <w:rPr>
          <w:sz w:val="22"/>
        </w:rPr>
        <w:t>Máje,</w:t>
      </w:r>
    </w:p>
    <w:p>
      <w:pPr>
        <w:pStyle w:val="ListParagraph"/>
        <w:numPr>
          <w:ilvl w:val="0"/>
          <w:numId w:val="2"/>
        </w:numPr>
        <w:tabs>
          <w:tab w:pos="1024" w:val="left" w:leader="none"/>
          <w:tab w:pos="1026" w:val="left" w:leader="none"/>
        </w:tabs>
        <w:spacing w:line="240" w:lineRule="auto" w:before="61" w:after="0"/>
        <w:ind w:left="1025" w:right="0" w:hanging="853"/>
        <w:jc w:val="both"/>
        <w:rPr>
          <w:sz w:val="22"/>
        </w:rPr>
      </w:pPr>
      <w:r>
        <w:rPr>
          <w:sz w:val="22"/>
        </w:rPr>
        <w:t>realizovat pěší nástup k lyžařskému vleku z Andělohorské ulice (plocha</w:t>
      </w:r>
      <w:r>
        <w:rPr>
          <w:spacing w:val="-15"/>
          <w:sz w:val="22"/>
        </w:rPr>
        <w:t> </w:t>
      </w:r>
      <w:r>
        <w:rPr>
          <w:sz w:val="22"/>
        </w:rPr>
        <w:t>130.P).</w:t>
      </w:r>
    </w:p>
    <w:p>
      <w:pPr>
        <w:spacing w:after="0" w:line="240" w:lineRule="auto"/>
        <w:jc w:val="both"/>
        <w:rPr>
          <w:sz w:val="22"/>
        </w:rPr>
        <w:sectPr>
          <w:pgSz w:w="11900" w:h="16840"/>
          <w:pgMar w:header="557" w:footer="582" w:top="760" w:bottom="780" w:left="960" w:right="980"/>
        </w:sectPr>
      </w:pPr>
    </w:p>
    <w:p>
      <w:pPr>
        <w:pStyle w:val="BodyText"/>
        <w:spacing w:before="4"/>
        <w:ind w:left="0" w:firstLine="0"/>
        <w:jc w:val="left"/>
      </w:pPr>
    </w:p>
    <w:p>
      <w:pPr>
        <w:pStyle w:val="Heading2"/>
        <w:numPr>
          <w:ilvl w:val="2"/>
          <w:numId w:val="6"/>
        </w:numPr>
        <w:tabs>
          <w:tab w:pos="1024" w:val="left" w:leader="none"/>
          <w:tab w:pos="1025" w:val="left" w:leader="none"/>
        </w:tabs>
        <w:spacing w:line="240" w:lineRule="auto" w:before="99" w:after="0"/>
        <w:ind w:left="1024" w:right="0" w:hanging="853"/>
        <w:jc w:val="left"/>
      </w:pPr>
      <w:r>
        <w:rPr/>
        <w:t>LETECKÁ</w:t>
      </w:r>
      <w:r>
        <w:rPr>
          <w:spacing w:val="-2"/>
        </w:rPr>
        <w:t> </w:t>
      </w:r>
      <w:r>
        <w:rPr/>
        <w:t>DOPRAVA</w:t>
      </w:r>
    </w:p>
    <w:p>
      <w:pPr>
        <w:pStyle w:val="ListParagraph"/>
        <w:numPr>
          <w:ilvl w:val="0"/>
          <w:numId w:val="1"/>
        </w:numPr>
        <w:tabs>
          <w:tab w:pos="1024" w:val="left" w:leader="none"/>
          <w:tab w:pos="1025" w:val="left" w:leader="none"/>
        </w:tabs>
        <w:spacing w:line="240" w:lineRule="auto" w:before="122" w:after="0"/>
        <w:ind w:left="1024" w:right="147" w:hanging="853"/>
        <w:jc w:val="both"/>
        <w:rPr>
          <w:sz w:val="22"/>
        </w:rPr>
      </w:pPr>
      <w:r>
        <w:rPr>
          <w:sz w:val="22"/>
        </w:rPr>
        <w:t>Respektovat vymezení malého polního letiště v prostoru Vysoké s dráhou 400 x 20 m, možnosti využití a rozsah letiště prověřit samostatnou</w:t>
      </w:r>
      <w:r>
        <w:rPr>
          <w:spacing w:val="-10"/>
          <w:sz w:val="22"/>
        </w:rPr>
        <w:t> </w:t>
      </w:r>
      <w:r>
        <w:rPr>
          <w:sz w:val="22"/>
        </w:rPr>
        <w:t>studií.</w:t>
      </w:r>
    </w:p>
    <w:p>
      <w:pPr>
        <w:pStyle w:val="Heading2"/>
        <w:numPr>
          <w:ilvl w:val="2"/>
          <w:numId w:val="6"/>
        </w:numPr>
        <w:tabs>
          <w:tab w:pos="1024" w:val="left" w:leader="none"/>
          <w:tab w:pos="1025" w:val="left" w:leader="none"/>
        </w:tabs>
        <w:spacing w:line="240" w:lineRule="auto" w:before="179" w:after="0"/>
        <w:ind w:left="1024" w:right="0" w:hanging="853"/>
        <w:jc w:val="left"/>
      </w:pPr>
      <w:r>
        <w:rPr/>
        <w:t>NEGATIVNÍ ÚČINKY HLUKU Z</w:t>
      </w:r>
      <w:r>
        <w:rPr>
          <w:spacing w:val="-5"/>
        </w:rPr>
        <w:t> </w:t>
      </w:r>
      <w:r>
        <w:rPr/>
        <w:t>DOPRAVY</w:t>
      </w:r>
    </w:p>
    <w:p>
      <w:pPr>
        <w:pStyle w:val="ListParagraph"/>
        <w:numPr>
          <w:ilvl w:val="0"/>
          <w:numId w:val="1"/>
        </w:numPr>
        <w:tabs>
          <w:tab w:pos="1024" w:val="left" w:leader="none"/>
          <w:tab w:pos="1025" w:val="left" w:leader="none"/>
        </w:tabs>
        <w:spacing w:line="240" w:lineRule="auto" w:before="41" w:after="0"/>
        <w:ind w:left="1024" w:right="145" w:hanging="853"/>
        <w:jc w:val="both"/>
        <w:rPr>
          <w:sz w:val="22"/>
        </w:rPr>
      </w:pPr>
      <w:r>
        <w:rPr>
          <w:sz w:val="22"/>
        </w:rPr>
        <w:t>Z důvodů ochrany obyvatel před negativními činky hluku z dopravy nerozvíjet kapacitní obytnou výstavbu obecně v těsné vazbě na </w:t>
      </w:r>
      <w:r>
        <w:rPr>
          <w:b/>
          <w:sz w:val="22"/>
        </w:rPr>
        <w:t>silnice I., II. a III. třídy </w:t>
      </w:r>
      <w:r>
        <w:rPr>
          <w:sz w:val="22"/>
        </w:rPr>
        <w:t>včetně navržených přeložek a v ochranném pásmu železničních</w:t>
      </w:r>
      <w:r>
        <w:rPr>
          <w:spacing w:val="-4"/>
          <w:sz w:val="22"/>
        </w:rPr>
        <w:t> </w:t>
      </w:r>
      <w:r>
        <w:rPr>
          <w:sz w:val="22"/>
        </w:rPr>
        <w:t>tratí.</w:t>
      </w:r>
    </w:p>
    <w:p>
      <w:pPr>
        <w:pStyle w:val="ListParagraph"/>
        <w:numPr>
          <w:ilvl w:val="0"/>
          <w:numId w:val="1"/>
        </w:numPr>
        <w:tabs>
          <w:tab w:pos="1024" w:val="left" w:leader="none"/>
          <w:tab w:pos="1025" w:val="left" w:leader="none"/>
        </w:tabs>
        <w:spacing w:line="240" w:lineRule="auto" w:before="19" w:after="0"/>
        <w:ind w:left="1024" w:right="145" w:hanging="853"/>
        <w:jc w:val="both"/>
        <w:rPr>
          <w:sz w:val="22"/>
        </w:rPr>
      </w:pPr>
      <w:r>
        <w:rPr>
          <w:sz w:val="22"/>
        </w:rPr>
        <w:t>Při umisťování staveb na plochách potenciálně ohrožených hlukem ze silniční a železniční dopravy vymezených izofonami hluku zakreslenými v Koordinačním výkresu (5) upřesňovat možné ohrožení nadměrnými účinky hluku na základě podmínek pro využití ploch uvedených v tabulkách kapitoly „C.2 Návrh zastavitelných ploch, ploch přestavby a nezastavitelných ploch“ návrhu</w:t>
      </w:r>
      <w:r>
        <w:rPr>
          <w:spacing w:val="-2"/>
          <w:sz w:val="22"/>
        </w:rPr>
        <w:t> </w:t>
      </w:r>
      <w:r>
        <w:rPr>
          <w:sz w:val="22"/>
        </w:rPr>
        <w:t>ÚP:</w:t>
      </w:r>
    </w:p>
    <w:p>
      <w:pPr>
        <w:pStyle w:val="ListParagraph"/>
        <w:numPr>
          <w:ilvl w:val="0"/>
          <w:numId w:val="2"/>
        </w:numPr>
        <w:tabs>
          <w:tab w:pos="1024" w:val="left" w:leader="none"/>
          <w:tab w:pos="1025" w:val="left" w:leader="none"/>
        </w:tabs>
        <w:spacing w:line="240" w:lineRule="auto" w:before="2" w:after="0"/>
        <w:ind w:left="1024" w:right="146" w:hanging="853"/>
        <w:jc w:val="both"/>
        <w:rPr>
          <w:sz w:val="22"/>
        </w:rPr>
      </w:pPr>
      <w:r>
        <w:rPr>
          <w:sz w:val="22"/>
        </w:rPr>
        <w:t>„H1 - při umisťování staveb prokázat měřením dodržování hygienických limitů hluku ze stabilizovaných ploch pro dopravu, výrobu a kapacitní obchod v budoucích chráněných venkovních prostorech</w:t>
      </w:r>
      <w:r>
        <w:rPr>
          <w:spacing w:val="-1"/>
          <w:sz w:val="22"/>
        </w:rPr>
        <w:t> </w:t>
      </w:r>
      <w:r>
        <w:rPr>
          <w:sz w:val="22"/>
        </w:rPr>
        <w:t>staveb“,</w:t>
      </w:r>
    </w:p>
    <w:p>
      <w:pPr>
        <w:pStyle w:val="ListParagraph"/>
        <w:numPr>
          <w:ilvl w:val="0"/>
          <w:numId w:val="2"/>
        </w:numPr>
        <w:tabs>
          <w:tab w:pos="1024" w:val="left" w:leader="none"/>
          <w:tab w:pos="1025" w:val="left" w:leader="none"/>
        </w:tabs>
        <w:spacing w:line="240" w:lineRule="auto" w:before="0" w:after="0"/>
        <w:ind w:left="1024" w:right="146" w:hanging="853"/>
        <w:jc w:val="both"/>
        <w:rPr>
          <w:sz w:val="22"/>
        </w:rPr>
      </w:pPr>
      <w:r>
        <w:rPr>
          <w:sz w:val="22"/>
        </w:rPr>
        <w:t>„H2 - při umisťování staveb prokázat dodržování hygienických limitů hluku z rozvojových ploch pro dopravu, výrobu a kapacitní obchod v budoucích chráněných venkovních prostorech</w:t>
      </w:r>
      <w:r>
        <w:rPr>
          <w:spacing w:val="-3"/>
          <w:sz w:val="22"/>
        </w:rPr>
        <w:t> </w:t>
      </w:r>
      <w:r>
        <w:rPr>
          <w:sz w:val="22"/>
        </w:rPr>
        <w:t>staveb“.</w:t>
      </w:r>
    </w:p>
    <w:p>
      <w:pPr>
        <w:pStyle w:val="ListParagraph"/>
        <w:numPr>
          <w:ilvl w:val="0"/>
          <w:numId w:val="1"/>
        </w:numPr>
        <w:tabs>
          <w:tab w:pos="1024" w:val="left" w:leader="none"/>
          <w:tab w:pos="1025" w:val="left" w:leader="none"/>
        </w:tabs>
        <w:spacing w:line="240" w:lineRule="auto" w:before="76" w:after="0"/>
        <w:ind w:left="1024" w:right="148" w:hanging="853"/>
        <w:jc w:val="both"/>
        <w:rPr>
          <w:sz w:val="22"/>
        </w:rPr>
      </w:pPr>
      <w:r>
        <w:rPr>
          <w:sz w:val="22"/>
        </w:rPr>
        <w:t>Zjištěnému překračování limitů hluku ze silničních i železničních komunikací nově umisťovaných do </w:t>
      </w:r>
      <w:r>
        <w:rPr>
          <w:b/>
          <w:sz w:val="22"/>
        </w:rPr>
        <w:t>stávající zástavby</w:t>
      </w:r>
      <w:r>
        <w:rPr>
          <w:b/>
          <w:spacing w:val="-3"/>
          <w:sz w:val="22"/>
        </w:rPr>
        <w:t> </w:t>
      </w:r>
      <w:r>
        <w:rPr>
          <w:sz w:val="22"/>
        </w:rPr>
        <w:t>bránit:</w:t>
      </w:r>
    </w:p>
    <w:p>
      <w:pPr>
        <w:pStyle w:val="ListParagraph"/>
        <w:numPr>
          <w:ilvl w:val="0"/>
          <w:numId w:val="2"/>
        </w:numPr>
        <w:tabs>
          <w:tab w:pos="1024" w:val="left" w:leader="none"/>
          <w:tab w:pos="1025" w:val="left" w:leader="none"/>
        </w:tabs>
        <w:spacing w:line="240" w:lineRule="auto" w:before="1" w:after="0"/>
        <w:ind w:left="1024" w:right="146" w:hanging="852"/>
        <w:jc w:val="both"/>
        <w:rPr>
          <w:sz w:val="22"/>
        </w:rPr>
      </w:pPr>
      <w:r>
        <w:rPr>
          <w:sz w:val="22"/>
        </w:rPr>
        <w:t>architektonickými opatřeními - změna dispozic při modernizaci s orientací chráněných prostorů na stranu odvrácenou od</w:t>
      </w:r>
      <w:r>
        <w:rPr>
          <w:spacing w:val="-7"/>
          <w:sz w:val="22"/>
        </w:rPr>
        <w:t> </w:t>
      </w:r>
      <w:r>
        <w:rPr>
          <w:sz w:val="22"/>
        </w:rPr>
        <w:t>komunikací,</w:t>
      </w:r>
    </w:p>
    <w:p>
      <w:pPr>
        <w:pStyle w:val="ListParagraph"/>
        <w:numPr>
          <w:ilvl w:val="0"/>
          <w:numId w:val="2"/>
        </w:numPr>
        <w:tabs>
          <w:tab w:pos="1024" w:val="left" w:leader="none"/>
          <w:tab w:pos="1025" w:val="left" w:leader="none"/>
        </w:tabs>
        <w:spacing w:line="253" w:lineRule="exact" w:before="0" w:after="0"/>
        <w:ind w:left="1024" w:right="0" w:hanging="853"/>
        <w:jc w:val="left"/>
        <w:rPr>
          <w:sz w:val="22"/>
        </w:rPr>
      </w:pPr>
      <w:r>
        <w:rPr>
          <w:sz w:val="22"/>
        </w:rPr>
        <w:t>technickými opatřeními na objektech - výměna oken za trojskla, speciální omítky,</w:t>
      </w:r>
      <w:r>
        <w:rPr>
          <w:spacing w:val="-25"/>
          <w:sz w:val="22"/>
        </w:rPr>
        <w:t> </w:t>
      </w:r>
      <w:r>
        <w:rPr>
          <w:sz w:val="22"/>
        </w:rPr>
        <w:t>clony,</w:t>
      </w:r>
    </w:p>
    <w:p>
      <w:pPr>
        <w:pStyle w:val="ListParagraph"/>
        <w:numPr>
          <w:ilvl w:val="0"/>
          <w:numId w:val="2"/>
        </w:numPr>
        <w:tabs>
          <w:tab w:pos="1024" w:val="left" w:leader="none"/>
          <w:tab w:pos="1025" w:val="left" w:leader="none"/>
        </w:tabs>
        <w:spacing w:line="253" w:lineRule="exact" w:before="0" w:after="0"/>
        <w:ind w:left="1024" w:right="0" w:hanging="853"/>
        <w:jc w:val="left"/>
        <w:rPr>
          <w:sz w:val="22"/>
        </w:rPr>
      </w:pPr>
      <w:r>
        <w:rPr>
          <w:sz w:val="22"/>
        </w:rPr>
        <w:t>technickými opatřeními na komunikacích - vylepšení povrchu, protihlukové</w:t>
      </w:r>
      <w:r>
        <w:rPr>
          <w:spacing w:val="-19"/>
          <w:sz w:val="22"/>
        </w:rPr>
        <w:t> </w:t>
      </w:r>
      <w:r>
        <w:rPr>
          <w:sz w:val="22"/>
        </w:rPr>
        <w:t>zábrany,</w:t>
      </w:r>
    </w:p>
    <w:p>
      <w:pPr>
        <w:pStyle w:val="ListParagraph"/>
        <w:numPr>
          <w:ilvl w:val="0"/>
          <w:numId w:val="2"/>
        </w:numPr>
        <w:tabs>
          <w:tab w:pos="1024" w:val="left" w:leader="none"/>
          <w:tab w:pos="1025" w:val="left" w:leader="none"/>
        </w:tabs>
        <w:spacing w:line="252" w:lineRule="exact" w:before="0" w:after="0"/>
        <w:ind w:left="1024" w:right="0" w:hanging="853"/>
        <w:jc w:val="left"/>
        <w:rPr>
          <w:sz w:val="22"/>
        </w:rPr>
      </w:pPr>
      <w:r>
        <w:rPr>
          <w:sz w:val="22"/>
        </w:rPr>
        <w:t>organizačními opatřeními - úpravy režimu</w:t>
      </w:r>
      <w:r>
        <w:rPr>
          <w:spacing w:val="-2"/>
          <w:sz w:val="22"/>
        </w:rPr>
        <w:t> </w:t>
      </w:r>
      <w:r>
        <w:rPr>
          <w:sz w:val="22"/>
        </w:rPr>
        <w:t>provozu,</w:t>
      </w:r>
    </w:p>
    <w:p>
      <w:pPr>
        <w:pStyle w:val="ListParagraph"/>
        <w:numPr>
          <w:ilvl w:val="0"/>
          <w:numId w:val="2"/>
        </w:numPr>
        <w:tabs>
          <w:tab w:pos="1024" w:val="left" w:leader="none"/>
          <w:tab w:pos="1025" w:val="left" w:leader="none"/>
        </w:tabs>
        <w:spacing w:line="253" w:lineRule="exact" w:before="0" w:after="0"/>
        <w:ind w:left="1024" w:right="0" w:hanging="853"/>
        <w:jc w:val="left"/>
        <w:rPr>
          <w:sz w:val="22"/>
        </w:rPr>
      </w:pPr>
      <w:r>
        <w:rPr>
          <w:sz w:val="22"/>
        </w:rPr>
        <w:t>přitom respektovat prostorovou strukturu města a společenské funkce uličních</w:t>
      </w:r>
      <w:r>
        <w:rPr>
          <w:spacing w:val="-23"/>
          <w:sz w:val="22"/>
        </w:rPr>
        <w:t> </w:t>
      </w:r>
      <w:r>
        <w:rPr>
          <w:sz w:val="22"/>
        </w:rPr>
        <w:t>prostorů.</w:t>
      </w:r>
    </w:p>
    <w:p>
      <w:pPr>
        <w:pStyle w:val="ListParagraph"/>
        <w:numPr>
          <w:ilvl w:val="0"/>
          <w:numId w:val="1"/>
        </w:numPr>
        <w:tabs>
          <w:tab w:pos="1024" w:val="left" w:leader="none"/>
          <w:tab w:pos="1025" w:val="left" w:leader="none"/>
        </w:tabs>
        <w:spacing w:line="240" w:lineRule="auto" w:before="80" w:after="0"/>
        <w:ind w:left="1024" w:right="150" w:hanging="852"/>
        <w:jc w:val="both"/>
        <w:rPr>
          <w:sz w:val="22"/>
        </w:rPr>
      </w:pPr>
      <w:r>
        <w:rPr>
          <w:sz w:val="22"/>
        </w:rPr>
        <w:t>Zjištěnému překračování limitů hluku ze stávajících nebo navržených silničních i železničních komunikací nově obestavovaných </w:t>
      </w:r>
      <w:r>
        <w:rPr>
          <w:b/>
          <w:sz w:val="22"/>
        </w:rPr>
        <w:t>navrženou zástavbou</w:t>
      </w:r>
      <w:r>
        <w:rPr>
          <w:b/>
          <w:spacing w:val="-9"/>
          <w:sz w:val="22"/>
        </w:rPr>
        <w:t> </w:t>
      </w:r>
      <w:r>
        <w:rPr>
          <w:sz w:val="22"/>
        </w:rPr>
        <w:t>bránit:</w:t>
      </w:r>
    </w:p>
    <w:p>
      <w:pPr>
        <w:pStyle w:val="ListParagraph"/>
        <w:numPr>
          <w:ilvl w:val="0"/>
          <w:numId w:val="2"/>
        </w:numPr>
        <w:tabs>
          <w:tab w:pos="1024" w:val="left" w:leader="none"/>
          <w:tab w:pos="1025" w:val="left" w:leader="none"/>
        </w:tabs>
        <w:spacing w:line="240" w:lineRule="auto" w:before="20" w:after="0"/>
        <w:ind w:left="1024" w:right="142" w:hanging="853"/>
        <w:jc w:val="both"/>
        <w:rPr>
          <w:sz w:val="22"/>
        </w:rPr>
      </w:pPr>
      <w:r>
        <w:rPr>
          <w:sz w:val="22"/>
        </w:rPr>
        <w:t>respektováním dostatečně rozsáhlých samostatných ploch s rozdílným způsobem využití vymezených v ÚP, které zajistí ochranu chráněných prostorů před</w:t>
      </w:r>
      <w:r>
        <w:rPr>
          <w:spacing w:val="-18"/>
          <w:sz w:val="22"/>
        </w:rPr>
        <w:t> </w:t>
      </w:r>
      <w:r>
        <w:rPr>
          <w:sz w:val="22"/>
        </w:rPr>
        <w:t>hlukem,</w:t>
      </w:r>
    </w:p>
    <w:p>
      <w:pPr>
        <w:pStyle w:val="ListParagraph"/>
        <w:numPr>
          <w:ilvl w:val="0"/>
          <w:numId w:val="2"/>
        </w:numPr>
        <w:tabs>
          <w:tab w:pos="1024" w:val="left" w:leader="none"/>
          <w:tab w:pos="1025" w:val="left" w:leader="none"/>
        </w:tabs>
        <w:spacing w:line="240" w:lineRule="auto" w:before="0" w:after="0"/>
        <w:ind w:left="1024" w:right="145" w:hanging="853"/>
        <w:jc w:val="both"/>
        <w:rPr>
          <w:sz w:val="22"/>
        </w:rPr>
      </w:pPr>
      <w:r>
        <w:rPr>
          <w:sz w:val="22"/>
        </w:rPr>
        <w:t>urbanistickými opatřeními při umisťování staveb - územní studie, DÚR,..., která znamenají funkční zónování ploch pro bydlení (B) s vymezením dílčích částí určených pro neobytné funkce - vybavení, ochrannou zeleň a umístění protihlukových</w:t>
      </w:r>
      <w:r>
        <w:rPr>
          <w:spacing w:val="-6"/>
          <w:sz w:val="22"/>
        </w:rPr>
        <w:t> </w:t>
      </w:r>
      <w:r>
        <w:rPr>
          <w:sz w:val="22"/>
        </w:rPr>
        <w:t>zábran</w:t>
      </w:r>
    </w:p>
    <w:p>
      <w:pPr>
        <w:pStyle w:val="ListParagraph"/>
        <w:numPr>
          <w:ilvl w:val="0"/>
          <w:numId w:val="2"/>
        </w:numPr>
        <w:tabs>
          <w:tab w:pos="1024" w:val="left" w:leader="none"/>
          <w:tab w:pos="1025" w:val="left" w:leader="none"/>
        </w:tabs>
        <w:spacing w:line="240" w:lineRule="auto" w:before="0" w:after="0"/>
        <w:ind w:left="1024" w:right="146" w:hanging="853"/>
        <w:jc w:val="both"/>
        <w:rPr>
          <w:sz w:val="22"/>
        </w:rPr>
      </w:pPr>
      <w:r>
        <w:rPr>
          <w:sz w:val="22"/>
        </w:rPr>
        <w:t>architektonickými opatřeními - orientací chráněných prostorů na stranu odvrácenou od komunikací,</w:t>
      </w:r>
    </w:p>
    <w:p>
      <w:pPr>
        <w:pStyle w:val="ListParagraph"/>
        <w:numPr>
          <w:ilvl w:val="0"/>
          <w:numId w:val="2"/>
        </w:numPr>
        <w:tabs>
          <w:tab w:pos="1024" w:val="left" w:leader="none"/>
          <w:tab w:pos="1025" w:val="left" w:leader="none"/>
        </w:tabs>
        <w:spacing w:line="240" w:lineRule="auto" w:before="16" w:after="0"/>
        <w:ind w:left="1024" w:right="0" w:hanging="853"/>
        <w:jc w:val="both"/>
        <w:rPr>
          <w:sz w:val="22"/>
        </w:rPr>
      </w:pPr>
      <w:r>
        <w:rPr>
          <w:sz w:val="22"/>
        </w:rPr>
        <w:t>přitom upřednostňovat tvorbu městského prostoru dotvořením stávajících uličních</w:t>
      </w:r>
      <w:r>
        <w:rPr>
          <w:spacing w:val="-20"/>
          <w:sz w:val="22"/>
        </w:rPr>
        <w:t> </w:t>
      </w:r>
      <w:r>
        <w:rPr>
          <w:sz w:val="22"/>
        </w:rPr>
        <w:t>čar.</w:t>
      </w:r>
    </w:p>
    <w:p>
      <w:pPr>
        <w:pStyle w:val="ListParagraph"/>
        <w:numPr>
          <w:ilvl w:val="0"/>
          <w:numId w:val="1"/>
        </w:numPr>
        <w:tabs>
          <w:tab w:pos="1024" w:val="left" w:leader="none"/>
          <w:tab w:pos="1025" w:val="left" w:leader="none"/>
        </w:tabs>
        <w:spacing w:line="240" w:lineRule="auto" w:before="42" w:after="0"/>
        <w:ind w:left="1024" w:right="145" w:hanging="853"/>
        <w:jc w:val="both"/>
        <w:rPr>
          <w:sz w:val="22"/>
        </w:rPr>
      </w:pPr>
      <w:r>
        <w:rPr>
          <w:sz w:val="22"/>
        </w:rPr>
        <w:t>Případná opatření vedoucí k odstranění negativních účinků hluku ze silniční a železniční dopravy realizovat na náklady majitele těch ploch, které byly do ÚP zařazeny</w:t>
      </w:r>
      <w:r>
        <w:rPr>
          <w:spacing w:val="-28"/>
          <w:sz w:val="22"/>
        </w:rPr>
        <w:t> </w:t>
      </w:r>
      <w:r>
        <w:rPr>
          <w:sz w:val="22"/>
        </w:rPr>
        <w:t>později,</w:t>
      </w:r>
    </w:p>
    <w:p>
      <w:pPr>
        <w:pStyle w:val="ListParagraph"/>
        <w:numPr>
          <w:ilvl w:val="0"/>
          <w:numId w:val="2"/>
        </w:numPr>
        <w:tabs>
          <w:tab w:pos="1024" w:val="left" w:leader="none"/>
          <w:tab w:pos="1025" w:val="left" w:leader="none"/>
        </w:tabs>
        <w:spacing w:line="240" w:lineRule="auto" w:before="17" w:after="0"/>
        <w:ind w:left="1024" w:right="146" w:hanging="852"/>
        <w:jc w:val="both"/>
        <w:rPr>
          <w:sz w:val="22"/>
        </w:rPr>
      </w:pPr>
      <w:r>
        <w:rPr>
          <w:sz w:val="22"/>
        </w:rPr>
        <w:t>v případě současného zařazení ploch do ÚP je realizovat na náklady majitele ploch, které nejsou navrženy ve veřejném</w:t>
      </w:r>
      <w:r>
        <w:rPr>
          <w:spacing w:val="-1"/>
          <w:sz w:val="22"/>
        </w:rPr>
        <w:t> </w:t>
      </w:r>
      <w:r>
        <w:rPr>
          <w:sz w:val="22"/>
        </w:rPr>
        <w:t>zájmu</w:t>
      </w:r>
    </w:p>
    <w:p>
      <w:pPr>
        <w:pStyle w:val="ListParagraph"/>
        <w:numPr>
          <w:ilvl w:val="0"/>
          <w:numId w:val="2"/>
        </w:numPr>
        <w:tabs>
          <w:tab w:pos="1024" w:val="left" w:leader="none"/>
          <w:tab w:pos="1025" w:val="left" w:leader="none"/>
        </w:tabs>
        <w:spacing w:line="240" w:lineRule="auto" w:before="18" w:after="0"/>
        <w:ind w:left="1024" w:right="142" w:hanging="853"/>
        <w:jc w:val="both"/>
        <w:rPr>
          <w:sz w:val="22"/>
        </w:rPr>
      </w:pPr>
      <w:r>
        <w:rPr>
          <w:sz w:val="22"/>
        </w:rPr>
        <w:t>opatření realizovat na náklady majitele ploch i v případě, kdy jejich zástavba ve spojení  se zdrojem hlukové zátěže způsobí ohrožení dříve navržených nebo stabilizovaných ploch.</w:t>
      </w:r>
    </w:p>
    <w:p>
      <w:pPr>
        <w:spacing w:after="0" w:line="240" w:lineRule="auto"/>
        <w:jc w:val="both"/>
        <w:rPr>
          <w:sz w:val="22"/>
        </w:rPr>
        <w:sectPr>
          <w:pgSz w:w="11900" w:h="16840"/>
          <w:pgMar w:header="557" w:footer="582" w:top="760" w:bottom="780" w:left="960" w:right="980"/>
        </w:sectPr>
      </w:pPr>
    </w:p>
    <w:p>
      <w:pPr>
        <w:pStyle w:val="BodyText"/>
        <w:ind w:left="0" w:firstLine="0"/>
        <w:jc w:val="left"/>
        <w:rPr>
          <w:sz w:val="20"/>
        </w:rPr>
      </w:pPr>
    </w:p>
    <w:p>
      <w:pPr>
        <w:pStyle w:val="BodyText"/>
        <w:spacing w:before="3"/>
        <w:ind w:left="0" w:firstLine="0"/>
        <w:jc w:val="left"/>
        <w:rPr>
          <w:sz w:val="11"/>
        </w:rPr>
      </w:pPr>
    </w:p>
    <w:p>
      <w:pPr>
        <w:pStyle w:val="BodyText"/>
        <w:ind w:left="144" w:firstLine="0"/>
        <w:jc w:val="left"/>
        <w:rPr>
          <w:sz w:val="20"/>
        </w:rPr>
      </w:pPr>
      <w:r>
        <w:rPr>
          <w:sz w:val="20"/>
        </w:rPr>
        <w:pict>
          <v:shape style="width:484.7pt;height:15pt;mso-position-horizontal-relative:char;mso-position-vertical-relative:line" type="#_x0000_t202" filled="true" fillcolor="#ccffff" stroked="false">
            <w10:anchorlock/>
            <v:textbox inset="0,0,0,0">
              <w:txbxContent>
                <w:p>
                  <w:pPr>
                    <w:tabs>
                      <w:tab w:pos="880" w:val="left" w:leader="none"/>
                    </w:tabs>
                    <w:spacing w:line="295" w:lineRule="exact" w:before="0"/>
                    <w:ind w:left="28" w:right="0" w:firstLine="0"/>
                    <w:jc w:val="left"/>
                    <w:rPr>
                      <w:b/>
                      <w:sz w:val="26"/>
                    </w:rPr>
                  </w:pPr>
                  <w:r>
                    <w:rPr>
                      <w:b/>
                      <w:sz w:val="26"/>
                    </w:rPr>
                    <w:t>D.2</w:t>
                    <w:tab/>
                    <w:t>TECHNICKÁ</w:t>
                  </w:r>
                  <w:r>
                    <w:rPr>
                      <w:b/>
                      <w:spacing w:val="-2"/>
                      <w:sz w:val="26"/>
                    </w:rPr>
                    <w:t> </w:t>
                  </w:r>
                  <w:r>
                    <w:rPr>
                      <w:b/>
                      <w:sz w:val="26"/>
                    </w:rPr>
                    <w:t>INFRASTRUKTURA</w:t>
                  </w:r>
                </w:p>
              </w:txbxContent>
            </v:textbox>
            <v:fill type="solid"/>
          </v:shape>
        </w:pict>
      </w:r>
      <w:r>
        <w:rPr>
          <w:sz w:val="20"/>
        </w:rPr>
      </w:r>
    </w:p>
    <w:p>
      <w:pPr>
        <w:pStyle w:val="ListParagraph"/>
        <w:numPr>
          <w:ilvl w:val="0"/>
          <w:numId w:val="1"/>
        </w:numPr>
        <w:tabs>
          <w:tab w:pos="1024" w:val="left" w:leader="none"/>
          <w:tab w:pos="1025" w:val="left" w:leader="none"/>
        </w:tabs>
        <w:spacing w:line="240" w:lineRule="auto" w:before="102" w:after="0"/>
        <w:ind w:left="1024" w:right="146" w:hanging="852"/>
        <w:jc w:val="both"/>
        <w:rPr>
          <w:sz w:val="22"/>
        </w:rPr>
      </w:pPr>
      <w:r>
        <w:rPr>
          <w:sz w:val="22"/>
        </w:rPr>
        <w:t>Koncepce vodního hospodářství stanovená především vymezením ploch a koridorů pro systémy zásobování vodou a odstraňování odpadních vod a koncepce energetiky a spojů stanovená především vymezením ploch a koridorů pro systémy zásobování elektrickou energií, plynem, centrálním teplem a informační systémy je zakreslena ve </w:t>
      </w:r>
      <w:r>
        <w:rPr>
          <w:b/>
          <w:sz w:val="22"/>
        </w:rPr>
        <w:t>Výkresu koncepce technické infrastruktury</w:t>
      </w:r>
      <w:r>
        <w:rPr>
          <w:b/>
          <w:spacing w:val="-7"/>
          <w:sz w:val="22"/>
        </w:rPr>
        <w:t> </w:t>
      </w:r>
      <w:r>
        <w:rPr>
          <w:sz w:val="22"/>
        </w:rPr>
        <w:t>(3).</w:t>
      </w:r>
    </w:p>
    <w:p>
      <w:pPr>
        <w:pStyle w:val="ListParagraph"/>
        <w:numPr>
          <w:ilvl w:val="0"/>
          <w:numId w:val="1"/>
        </w:numPr>
        <w:tabs>
          <w:tab w:pos="1024" w:val="left" w:leader="none"/>
          <w:tab w:pos="1025" w:val="left" w:leader="none"/>
        </w:tabs>
        <w:spacing w:line="240" w:lineRule="auto" w:before="120" w:after="0"/>
        <w:ind w:left="1024" w:right="146" w:hanging="853"/>
        <w:jc w:val="both"/>
        <w:rPr>
          <w:sz w:val="22"/>
        </w:rPr>
      </w:pPr>
      <w:r>
        <w:rPr>
          <w:sz w:val="22"/>
        </w:rPr>
        <w:t>Ve Výkresu koncepce technické infrastruktury (3) jsou zakresleny pouze liniové a plošné prvky technické infrastruktury nadřazených a celoměstských systémů prokazující jejich </w:t>
      </w:r>
      <w:r>
        <w:rPr>
          <w:b/>
          <w:sz w:val="22"/>
        </w:rPr>
        <w:t>celistvost a napojení rozvojových ploch</w:t>
      </w:r>
      <w:r>
        <w:rPr>
          <w:b/>
          <w:spacing w:val="-1"/>
          <w:sz w:val="22"/>
        </w:rPr>
        <w:t> </w:t>
      </w:r>
      <w:r>
        <w:rPr>
          <w:b/>
          <w:sz w:val="22"/>
        </w:rPr>
        <w:t>ÚP</w:t>
      </w:r>
      <w:r>
        <w:rPr>
          <w:sz w:val="22"/>
        </w:rPr>
        <w:t>,</w:t>
      </w:r>
    </w:p>
    <w:p>
      <w:pPr>
        <w:pStyle w:val="ListParagraph"/>
        <w:numPr>
          <w:ilvl w:val="0"/>
          <w:numId w:val="2"/>
        </w:numPr>
        <w:tabs>
          <w:tab w:pos="1024" w:val="left" w:leader="none"/>
          <w:tab w:pos="1025" w:val="left" w:leader="none"/>
        </w:tabs>
        <w:spacing w:line="240" w:lineRule="auto" w:before="38" w:after="0"/>
        <w:ind w:left="1024" w:right="145" w:hanging="853"/>
        <w:jc w:val="both"/>
        <w:rPr>
          <w:sz w:val="22"/>
        </w:rPr>
      </w:pPr>
      <w:r>
        <w:rPr>
          <w:sz w:val="22"/>
        </w:rPr>
        <w:t>liniové stavby technické infrastruktury tvoří </w:t>
      </w:r>
      <w:r>
        <w:rPr>
          <w:b/>
          <w:sz w:val="22"/>
        </w:rPr>
        <w:t>přípustné využití </w:t>
      </w:r>
      <w:r>
        <w:rPr>
          <w:sz w:val="22"/>
        </w:rPr>
        <w:t>ploch dopravní infrastruktury-silniční (M), ploch dopravní infrastruktury-drážní (D) a ploch veřejných prostranství</w:t>
      </w:r>
      <w:r>
        <w:rPr>
          <w:spacing w:val="-4"/>
          <w:sz w:val="22"/>
        </w:rPr>
        <w:t> </w:t>
      </w:r>
      <w:r>
        <w:rPr>
          <w:sz w:val="22"/>
        </w:rPr>
        <w:t>(P),</w:t>
      </w:r>
    </w:p>
    <w:p>
      <w:pPr>
        <w:pStyle w:val="ListParagraph"/>
        <w:numPr>
          <w:ilvl w:val="0"/>
          <w:numId w:val="2"/>
        </w:numPr>
        <w:tabs>
          <w:tab w:pos="1024" w:val="left" w:leader="none"/>
          <w:tab w:pos="1025" w:val="left" w:leader="none"/>
        </w:tabs>
        <w:spacing w:line="240" w:lineRule="auto" w:before="42" w:after="0"/>
        <w:ind w:left="1024" w:right="147" w:hanging="853"/>
        <w:jc w:val="both"/>
        <w:rPr>
          <w:sz w:val="22"/>
        </w:rPr>
      </w:pPr>
      <w:r>
        <w:rPr>
          <w:sz w:val="22"/>
        </w:rPr>
        <w:t>liniové stavby a plošně nenáročná zařízení technické infrastruktury nadřazených systémů, jejichž plocha nepřesáhne stanovenou výměru a které souvisí bezprostředně s provozem města, tvoří </w:t>
      </w:r>
      <w:r>
        <w:rPr>
          <w:b/>
          <w:sz w:val="22"/>
        </w:rPr>
        <w:t>podmíněně přípustné využití </w:t>
      </w:r>
      <w:r>
        <w:rPr>
          <w:sz w:val="22"/>
        </w:rPr>
        <w:t>vybraných zastavěných a zastavitelných, nezastavěných a nezastavitelných</w:t>
      </w:r>
      <w:r>
        <w:rPr>
          <w:spacing w:val="-1"/>
          <w:sz w:val="22"/>
        </w:rPr>
        <w:t> </w:t>
      </w:r>
      <w:r>
        <w:rPr>
          <w:sz w:val="22"/>
        </w:rPr>
        <w:t>ploch,</w:t>
      </w:r>
    </w:p>
    <w:p>
      <w:pPr>
        <w:pStyle w:val="ListParagraph"/>
        <w:numPr>
          <w:ilvl w:val="0"/>
          <w:numId w:val="2"/>
        </w:numPr>
        <w:tabs>
          <w:tab w:pos="1024" w:val="left" w:leader="none"/>
          <w:tab w:pos="1025" w:val="left" w:leader="none"/>
        </w:tabs>
        <w:spacing w:line="240" w:lineRule="auto" w:before="38" w:after="0"/>
        <w:ind w:left="1024" w:right="148" w:hanging="853"/>
        <w:jc w:val="both"/>
        <w:rPr>
          <w:sz w:val="22"/>
        </w:rPr>
      </w:pPr>
      <w:r>
        <w:rPr>
          <w:sz w:val="22"/>
        </w:rPr>
        <w:t>další činnosti, stavby a zařízení technické infrastruktury tvoří jako </w:t>
      </w:r>
      <w:r>
        <w:rPr>
          <w:b/>
          <w:sz w:val="22"/>
        </w:rPr>
        <w:t>základní vybavenost území </w:t>
      </w:r>
      <w:r>
        <w:rPr>
          <w:sz w:val="22"/>
        </w:rPr>
        <w:t>za stanovených podmínek podmíněně přípustné využití všech zastavěných a zastavitelných, nezastavěných a nezastavitelných ploch.</w:t>
      </w:r>
    </w:p>
    <w:p>
      <w:pPr>
        <w:pStyle w:val="ListParagraph"/>
        <w:numPr>
          <w:ilvl w:val="0"/>
          <w:numId w:val="1"/>
        </w:numPr>
        <w:tabs>
          <w:tab w:pos="1024" w:val="left" w:leader="none"/>
          <w:tab w:pos="1025" w:val="left" w:leader="none"/>
        </w:tabs>
        <w:spacing w:line="240" w:lineRule="auto" w:before="119" w:after="0"/>
        <w:ind w:left="1024" w:right="145" w:hanging="852"/>
        <w:jc w:val="both"/>
        <w:rPr>
          <w:sz w:val="22"/>
        </w:rPr>
      </w:pPr>
      <w:r>
        <w:rPr>
          <w:sz w:val="22"/>
        </w:rPr>
        <w:t>Umístění samostatných bodových a liniových prvků technické infrastruktury převzatých    z ÚAP resp. navržených v ÚP je provedeno ve vztahu k plochám dopravní infrastruktury- silniční (M), plochám veřejných prostranství (P) a hranám parcel, jeho upřesnění bude předmětem dalších fází projektové</w:t>
      </w:r>
      <w:r>
        <w:rPr>
          <w:spacing w:val="-5"/>
          <w:sz w:val="22"/>
        </w:rPr>
        <w:t> </w:t>
      </w:r>
      <w:r>
        <w:rPr>
          <w:sz w:val="22"/>
        </w:rPr>
        <w:t>přípravy.</w:t>
      </w:r>
    </w:p>
    <w:p>
      <w:pPr>
        <w:pStyle w:val="ListParagraph"/>
        <w:numPr>
          <w:ilvl w:val="0"/>
          <w:numId w:val="1"/>
        </w:numPr>
        <w:tabs>
          <w:tab w:pos="1024" w:val="left" w:leader="none"/>
          <w:tab w:pos="1025" w:val="left" w:leader="none"/>
        </w:tabs>
        <w:spacing w:line="240" w:lineRule="auto" w:before="80" w:after="0"/>
        <w:ind w:left="1024" w:right="146" w:hanging="853"/>
        <w:jc w:val="both"/>
        <w:rPr>
          <w:sz w:val="22"/>
        </w:rPr>
      </w:pPr>
      <w:r>
        <w:rPr>
          <w:sz w:val="22"/>
        </w:rPr>
        <w:t>Detailní koncepční řešení rozvojových ploch bude upřesněno na základě podmínek pro využití ploch uvedených v tabulkách kapitoly „C.2 Návrh zastavitelných ploch, ploch přestavby a nezastavitelných ploch“ návrhu</w:t>
      </w:r>
      <w:r>
        <w:rPr>
          <w:spacing w:val="-2"/>
          <w:sz w:val="22"/>
        </w:rPr>
        <w:t> </w:t>
      </w:r>
      <w:r>
        <w:rPr>
          <w:sz w:val="22"/>
        </w:rPr>
        <w:t>ÚP:</w:t>
      </w:r>
    </w:p>
    <w:p>
      <w:pPr>
        <w:pStyle w:val="ListParagraph"/>
        <w:numPr>
          <w:ilvl w:val="0"/>
          <w:numId w:val="2"/>
        </w:numPr>
        <w:tabs>
          <w:tab w:pos="1024" w:val="left" w:leader="none"/>
          <w:tab w:pos="1025" w:val="left" w:leader="none"/>
        </w:tabs>
        <w:spacing w:line="240" w:lineRule="auto" w:before="59" w:after="0"/>
        <w:ind w:left="1024" w:right="144" w:hanging="853"/>
        <w:jc w:val="both"/>
        <w:rPr>
          <w:sz w:val="22"/>
        </w:rPr>
      </w:pPr>
      <w:r>
        <w:rPr>
          <w:sz w:val="22"/>
        </w:rPr>
        <w:t>„</w:t>
      </w:r>
      <w:r>
        <w:rPr>
          <w:b/>
          <w:sz w:val="22"/>
        </w:rPr>
        <w:t>TI </w:t>
      </w:r>
      <w:r>
        <w:rPr>
          <w:sz w:val="22"/>
        </w:rPr>
        <w:t>- v dalších stupních projektové přípravy prokázat řešení vnitřní technické infrastruktury na celé ploše vč. návaznosti na širší</w:t>
      </w:r>
      <w:r>
        <w:rPr>
          <w:spacing w:val="-8"/>
          <w:sz w:val="22"/>
        </w:rPr>
        <w:t> </w:t>
      </w:r>
      <w:r>
        <w:rPr>
          <w:sz w:val="22"/>
        </w:rPr>
        <w:t>území“.</w:t>
      </w:r>
    </w:p>
    <w:p>
      <w:pPr>
        <w:pStyle w:val="Heading2"/>
        <w:numPr>
          <w:ilvl w:val="2"/>
          <w:numId w:val="7"/>
        </w:numPr>
        <w:tabs>
          <w:tab w:pos="1024" w:val="left" w:leader="none"/>
          <w:tab w:pos="1025" w:val="left" w:leader="none"/>
        </w:tabs>
        <w:spacing w:line="240" w:lineRule="auto" w:before="178" w:after="0"/>
        <w:ind w:left="1024" w:right="0" w:hanging="853"/>
        <w:jc w:val="left"/>
      </w:pPr>
      <w:r>
        <w:rPr/>
        <w:t>ZÁSOBOVÁNÍ</w:t>
      </w:r>
      <w:r>
        <w:rPr>
          <w:spacing w:val="1"/>
        </w:rPr>
        <w:t> </w:t>
      </w:r>
      <w:r>
        <w:rPr/>
        <w:t>VODOU</w:t>
      </w:r>
    </w:p>
    <w:p>
      <w:pPr>
        <w:pStyle w:val="ListParagraph"/>
        <w:numPr>
          <w:ilvl w:val="0"/>
          <w:numId w:val="1"/>
        </w:numPr>
        <w:tabs>
          <w:tab w:pos="1024" w:val="left" w:leader="none"/>
          <w:tab w:pos="1025" w:val="left" w:leader="none"/>
        </w:tabs>
        <w:spacing w:line="240" w:lineRule="auto" w:before="79" w:after="0"/>
        <w:ind w:left="1024" w:right="146" w:hanging="852"/>
        <w:jc w:val="both"/>
        <w:rPr>
          <w:sz w:val="22"/>
        </w:rPr>
      </w:pPr>
      <w:r>
        <w:rPr>
          <w:sz w:val="22"/>
        </w:rPr>
        <w:t>Zachovat systém zásobování vodou tvořený hlavními </w:t>
      </w:r>
      <w:r>
        <w:rPr>
          <w:b/>
          <w:sz w:val="22"/>
        </w:rPr>
        <w:t>přívodními řady, vodojemy, čerpacími stanicemi </w:t>
      </w:r>
      <w:r>
        <w:rPr>
          <w:sz w:val="22"/>
        </w:rPr>
        <w:t>a rozvodnými řady včetně propojení celé vodovodní soustavy města přes tlaková</w:t>
      </w:r>
      <w:r>
        <w:rPr>
          <w:spacing w:val="-3"/>
          <w:sz w:val="22"/>
        </w:rPr>
        <w:t> </w:t>
      </w:r>
      <w:r>
        <w:rPr>
          <w:sz w:val="22"/>
        </w:rPr>
        <w:t>pásma.</w:t>
      </w:r>
    </w:p>
    <w:p>
      <w:pPr>
        <w:pStyle w:val="ListParagraph"/>
        <w:numPr>
          <w:ilvl w:val="0"/>
          <w:numId w:val="1"/>
        </w:numPr>
        <w:tabs>
          <w:tab w:pos="1024" w:val="left" w:leader="none"/>
          <w:tab w:pos="1025" w:val="left" w:leader="none"/>
        </w:tabs>
        <w:spacing w:line="240" w:lineRule="auto" w:before="125" w:after="0"/>
        <w:ind w:left="1024" w:right="141" w:hanging="852"/>
        <w:jc w:val="both"/>
        <w:rPr>
          <w:sz w:val="22"/>
        </w:rPr>
      </w:pPr>
      <w:r>
        <w:rPr>
          <w:sz w:val="22"/>
        </w:rPr>
        <w:t>V rozvojových plochách výstavby a tam kde není vyhovující stávající vodovod (z důvodu nevyhovujícího profilu nebo materiálu, případně inkrustace) realizovat </w:t>
      </w:r>
      <w:r>
        <w:rPr>
          <w:b/>
          <w:sz w:val="22"/>
        </w:rPr>
        <w:t>nové trasy </w:t>
      </w:r>
      <w:r>
        <w:rPr>
          <w:sz w:val="22"/>
        </w:rPr>
        <w:t>vodovodních řadů o profilech min. DN</w:t>
      </w:r>
      <w:r>
        <w:rPr>
          <w:spacing w:val="-2"/>
          <w:sz w:val="22"/>
        </w:rPr>
        <w:t> </w:t>
      </w:r>
      <w:r>
        <w:rPr>
          <w:sz w:val="22"/>
        </w:rPr>
        <w:t>80-100mm,</w:t>
      </w:r>
    </w:p>
    <w:p>
      <w:pPr>
        <w:pStyle w:val="ListParagraph"/>
        <w:numPr>
          <w:ilvl w:val="0"/>
          <w:numId w:val="2"/>
        </w:numPr>
        <w:tabs>
          <w:tab w:pos="1024" w:val="left" w:leader="none"/>
          <w:tab w:pos="1025" w:val="left" w:leader="none"/>
        </w:tabs>
        <w:spacing w:line="240" w:lineRule="auto" w:before="40" w:after="0"/>
        <w:ind w:left="1024" w:right="147" w:hanging="853"/>
        <w:jc w:val="both"/>
        <w:rPr>
          <w:sz w:val="22"/>
        </w:rPr>
      </w:pPr>
      <w:r>
        <w:rPr>
          <w:sz w:val="22"/>
        </w:rPr>
        <w:t>rozšířit vodovodní řady dle Výkresu koncepce technické infrastruktury (3) a k plochám 11.Změny č. 52, 55, 178, 179, 180,</w:t>
      </w:r>
      <w:r>
        <w:rPr>
          <w:spacing w:val="-1"/>
          <w:sz w:val="22"/>
        </w:rPr>
        <w:t> </w:t>
      </w:r>
      <w:r>
        <w:rPr>
          <w:sz w:val="22"/>
        </w:rPr>
        <w:t>181.</w:t>
      </w:r>
    </w:p>
    <w:p>
      <w:pPr>
        <w:pStyle w:val="ListParagraph"/>
        <w:numPr>
          <w:ilvl w:val="0"/>
          <w:numId w:val="1"/>
        </w:numPr>
        <w:tabs>
          <w:tab w:pos="1024" w:val="left" w:leader="none"/>
          <w:tab w:pos="1025" w:val="left" w:leader="none"/>
        </w:tabs>
        <w:spacing w:line="240" w:lineRule="auto" w:before="117" w:after="0"/>
        <w:ind w:left="1024" w:right="147" w:hanging="852"/>
        <w:jc w:val="both"/>
        <w:rPr>
          <w:sz w:val="22"/>
        </w:rPr>
      </w:pPr>
      <w:r>
        <w:rPr>
          <w:sz w:val="22"/>
        </w:rPr>
        <w:t>Do vybudování kompletního systému veřejného vodovodu povolovat rozvoj zástavby na stabilizovaných a rozvojových plochách s využitím dočasného </w:t>
      </w:r>
      <w:r>
        <w:rPr>
          <w:b/>
          <w:sz w:val="22"/>
        </w:rPr>
        <w:t>individuálního řešení </w:t>
      </w:r>
      <w:r>
        <w:rPr>
          <w:sz w:val="22"/>
        </w:rPr>
        <w:t>zásobování vodou, jehož přípustnost resp. podmínky prověří podrobná</w:t>
      </w:r>
      <w:r>
        <w:rPr>
          <w:spacing w:val="-23"/>
          <w:sz w:val="22"/>
        </w:rPr>
        <w:t> </w:t>
      </w:r>
      <w:r>
        <w:rPr>
          <w:sz w:val="22"/>
        </w:rPr>
        <w:t>dokumentace.</w:t>
      </w:r>
    </w:p>
    <w:p>
      <w:pPr>
        <w:pStyle w:val="ListParagraph"/>
        <w:numPr>
          <w:ilvl w:val="0"/>
          <w:numId w:val="1"/>
        </w:numPr>
        <w:tabs>
          <w:tab w:pos="1024" w:val="left" w:leader="none"/>
          <w:tab w:pos="1025" w:val="left" w:leader="none"/>
        </w:tabs>
        <w:spacing w:line="240" w:lineRule="auto" w:before="120" w:after="0"/>
        <w:ind w:left="1024" w:right="145" w:hanging="853"/>
        <w:jc w:val="both"/>
        <w:rPr>
          <w:sz w:val="22"/>
        </w:rPr>
      </w:pPr>
      <w:r>
        <w:rPr>
          <w:sz w:val="22"/>
        </w:rPr>
        <w:t>Rekonstruovat velkou část uličních řadů, nahradit většinu řadů s profilem menším než DN 80-100 minimálně tímto profilem, zkapacitnit potrubí hlavních tras v centru</w:t>
      </w:r>
      <w:r>
        <w:rPr>
          <w:spacing w:val="-25"/>
          <w:sz w:val="22"/>
        </w:rPr>
        <w:t> </w:t>
      </w:r>
      <w:r>
        <w:rPr>
          <w:sz w:val="22"/>
        </w:rPr>
        <w:t>Chrastavy.</w:t>
      </w:r>
    </w:p>
    <w:p>
      <w:pPr>
        <w:pStyle w:val="ListParagraph"/>
        <w:numPr>
          <w:ilvl w:val="0"/>
          <w:numId w:val="2"/>
        </w:numPr>
        <w:tabs>
          <w:tab w:pos="1024" w:val="left" w:leader="none"/>
          <w:tab w:pos="1025" w:val="left" w:leader="none"/>
        </w:tabs>
        <w:spacing w:line="240" w:lineRule="auto" w:before="41" w:after="0"/>
        <w:ind w:left="1024" w:right="146" w:hanging="852"/>
        <w:jc w:val="both"/>
        <w:rPr>
          <w:sz w:val="22"/>
        </w:rPr>
      </w:pPr>
      <w:r>
        <w:rPr>
          <w:sz w:val="22"/>
        </w:rPr>
        <w:t>rekonstrukci   vodovodních   řadů   provádět   po   etapách,   koordinovat   rekonstrukce   s výstavbou ostatních inženýrských sítí pro rozvojové</w:t>
      </w:r>
      <w:r>
        <w:rPr>
          <w:spacing w:val="-6"/>
          <w:sz w:val="22"/>
        </w:rPr>
        <w:t> </w:t>
      </w:r>
      <w:r>
        <w:rPr>
          <w:sz w:val="22"/>
        </w:rPr>
        <w:t>plochy.</w:t>
      </w:r>
    </w:p>
    <w:p>
      <w:pPr>
        <w:pStyle w:val="ListParagraph"/>
        <w:numPr>
          <w:ilvl w:val="0"/>
          <w:numId w:val="2"/>
        </w:numPr>
        <w:tabs>
          <w:tab w:pos="1024" w:val="left" w:leader="none"/>
          <w:tab w:pos="1025" w:val="left" w:leader="none"/>
        </w:tabs>
        <w:spacing w:line="240" w:lineRule="auto" w:before="40" w:after="0"/>
        <w:ind w:left="1024" w:right="148" w:hanging="852"/>
        <w:jc w:val="both"/>
        <w:rPr>
          <w:sz w:val="22"/>
        </w:rPr>
      </w:pPr>
      <w:r>
        <w:rPr>
          <w:sz w:val="22"/>
        </w:rPr>
        <w:t>pro plánované rekonstrukce zohlednit zpracovaný Plán obnovy vodovodní sítě a optimalizace vodovodní sítě (DHI a.s. Praha, 2009) a zpracovanou podrobnější</w:t>
      </w:r>
      <w:r>
        <w:rPr>
          <w:spacing w:val="-19"/>
          <w:sz w:val="22"/>
        </w:rPr>
        <w:t> </w:t>
      </w:r>
      <w:r>
        <w:rPr>
          <w:sz w:val="22"/>
        </w:rPr>
        <w:t>ÚPD.</w:t>
      </w:r>
    </w:p>
    <w:p>
      <w:pPr>
        <w:pStyle w:val="ListParagraph"/>
        <w:numPr>
          <w:ilvl w:val="0"/>
          <w:numId w:val="1"/>
        </w:numPr>
        <w:tabs>
          <w:tab w:pos="1024" w:val="left" w:leader="none"/>
          <w:tab w:pos="1025" w:val="left" w:leader="none"/>
        </w:tabs>
        <w:spacing w:line="240" w:lineRule="auto" w:before="117" w:after="0"/>
        <w:ind w:left="1024" w:right="148" w:hanging="853"/>
        <w:jc w:val="both"/>
        <w:rPr>
          <w:sz w:val="22"/>
        </w:rPr>
      </w:pPr>
      <w:r>
        <w:rPr>
          <w:sz w:val="22"/>
        </w:rPr>
        <w:t>Zkapacitnit přívod ze zdroje Machnín z DN 200 mm na DN 300-350 mm v souvislosti se zkapacitněním vodovodu Liberec - Hrádek nad</w:t>
      </w:r>
      <w:r>
        <w:rPr>
          <w:spacing w:val="3"/>
          <w:sz w:val="22"/>
        </w:rPr>
        <w:t> </w:t>
      </w:r>
      <w:r>
        <w:rPr>
          <w:sz w:val="22"/>
        </w:rPr>
        <w:t>Nisou.</w:t>
      </w:r>
    </w:p>
    <w:p>
      <w:pPr>
        <w:pStyle w:val="ListParagraph"/>
        <w:numPr>
          <w:ilvl w:val="0"/>
          <w:numId w:val="1"/>
        </w:numPr>
        <w:tabs>
          <w:tab w:pos="1024" w:val="left" w:leader="none"/>
          <w:tab w:pos="1025" w:val="left" w:leader="none"/>
        </w:tabs>
        <w:spacing w:line="240" w:lineRule="auto" w:before="121" w:after="0"/>
        <w:ind w:left="1024" w:right="146" w:hanging="852"/>
        <w:jc w:val="both"/>
        <w:rPr>
          <w:sz w:val="22"/>
        </w:rPr>
      </w:pPr>
      <w:r>
        <w:rPr>
          <w:sz w:val="22"/>
        </w:rPr>
        <w:t>Ve Vítkově dokončit výstavbu vodovodu včetně 2 vodojemů podle zpracované projektová dokumentace.</w:t>
      </w:r>
    </w:p>
    <w:p>
      <w:pPr>
        <w:spacing w:after="0" w:line="240" w:lineRule="auto"/>
        <w:jc w:val="both"/>
        <w:rPr>
          <w:sz w:val="22"/>
        </w:rPr>
        <w:sectPr>
          <w:pgSz w:w="11900" w:h="16840"/>
          <w:pgMar w:header="557" w:footer="582" w:top="760" w:bottom="780" w:left="960" w:right="980"/>
        </w:sectPr>
      </w:pPr>
    </w:p>
    <w:p>
      <w:pPr>
        <w:pStyle w:val="BodyText"/>
        <w:spacing w:before="4"/>
        <w:ind w:left="0" w:firstLine="0"/>
        <w:jc w:val="left"/>
      </w:pPr>
    </w:p>
    <w:p>
      <w:pPr>
        <w:pStyle w:val="Heading2"/>
        <w:numPr>
          <w:ilvl w:val="2"/>
          <w:numId w:val="7"/>
        </w:numPr>
        <w:tabs>
          <w:tab w:pos="1025" w:val="left" w:leader="none"/>
        </w:tabs>
        <w:spacing w:line="240" w:lineRule="auto" w:before="99" w:after="0"/>
        <w:ind w:left="1024" w:right="0" w:hanging="853"/>
        <w:jc w:val="both"/>
      </w:pPr>
      <w:r>
        <w:rPr/>
        <w:t>ODKANALIZOVÁNÍ</w:t>
      </w:r>
    </w:p>
    <w:p>
      <w:pPr>
        <w:pStyle w:val="ListParagraph"/>
        <w:numPr>
          <w:ilvl w:val="0"/>
          <w:numId w:val="1"/>
        </w:numPr>
        <w:tabs>
          <w:tab w:pos="1024" w:val="left" w:leader="none"/>
          <w:tab w:pos="1025" w:val="left" w:leader="none"/>
        </w:tabs>
        <w:spacing w:line="240" w:lineRule="auto" w:before="122" w:after="0"/>
        <w:ind w:left="1024" w:right="146" w:hanging="853"/>
        <w:jc w:val="both"/>
        <w:rPr>
          <w:sz w:val="22"/>
        </w:rPr>
      </w:pPr>
      <w:r>
        <w:rPr>
          <w:sz w:val="22"/>
        </w:rPr>
        <w:t>Pro úplnou likvidaci odpadních vod s postupným napojováním dalších lokalit a odstraňováním výústí dokončit výstavbu </w:t>
      </w:r>
      <w:r>
        <w:rPr>
          <w:b/>
          <w:sz w:val="22"/>
        </w:rPr>
        <w:t>2. linky biologické části čistírny odpadních vod </w:t>
      </w:r>
      <w:r>
        <w:rPr>
          <w:sz w:val="22"/>
        </w:rPr>
        <w:t>– zvýšení kapacity o 3500</w:t>
      </w:r>
      <w:r>
        <w:rPr>
          <w:spacing w:val="-6"/>
          <w:sz w:val="22"/>
        </w:rPr>
        <w:t> </w:t>
      </w:r>
      <w:r>
        <w:rPr>
          <w:sz w:val="22"/>
        </w:rPr>
        <w:t>EO.</w:t>
      </w:r>
    </w:p>
    <w:p>
      <w:pPr>
        <w:pStyle w:val="ListParagraph"/>
        <w:numPr>
          <w:ilvl w:val="0"/>
          <w:numId w:val="1"/>
        </w:numPr>
        <w:tabs>
          <w:tab w:pos="1024" w:val="left" w:leader="none"/>
          <w:tab w:pos="1025" w:val="left" w:leader="none"/>
        </w:tabs>
        <w:spacing w:line="244" w:lineRule="auto" w:before="117" w:after="0"/>
        <w:ind w:left="1024" w:right="147" w:hanging="853"/>
        <w:jc w:val="both"/>
        <w:rPr>
          <w:sz w:val="22"/>
        </w:rPr>
      </w:pPr>
      <w:r>
        <w:rPr>
          <w:sz w:val="22"/>
        </w:rPr>
        <w:t>Postupně rozšířit </w:t>
      </w:r>
      <w:r>
        <w:rPr>
          <w:b/>
          <w:sz w:val="22"/>
        </w:rPr>
        <w:t>splašková kanalizační síť </w:t>
      </w:r>
      <w:r>
        <w:rPr>
          <w:sz w:val="22"/>
        </w:rPr>
        <w:t>ve městě o stoky vedoucí k rozvojovým plochám a stoky zajišťující odstranění kanalizačních</w:t>
      </w:r>
      <w:r>
        <w:rPr>
          <w:spacing w:val="-10"/>
          <w:sz w:val="22"/>
        </w:rPr>
        <w:t> </w:t>
      </w:r>
      <w:r>
        <w:rPr>
          <w:sz w:val="22"/>
        </w:rPr>
        <w:t>výustí,</w:t>
      </w:r>
    </w:p>
    <w:p>
      <w:pPr>
        <w:pStyle w:val="ListParagraph"/>
        <w:numPr>
          <w:ilvl w:val="0"/>
          <w:numId w:val="2"/>
        </w:numPr>
        <w:tabs>
          <w:tab w:pos="1024" w:val="left" w:leader="none"/>
          <w:tab w:pos="1025" w:val="left" w:leader="none"/>
        </w:tabs>
        <w:spacing w:line="240" w:lineRule="auto" w:before="34" w:after="0"/>
        <w:ind w:left="1024" w:right="147" w:hanging="853"/>
        <w:jc w:val="both"/>
        <w:rPr>
          <w:sz w:val="22"/>
        </w:rPr>
      </w:pPr>
      <w:r>
        <w:rPr>
          <w:sz w:val="22"/>
        </w:rPr>
        <w:t>rozšířit kanalizační řady dle Výkresu koncepce technické infrastruktury (3) a k plochám 11.Změny č. 52, 54, 55, 108, 109, 178, 179, 180,</w:t>
      </w:r>
      <w:r>
        <w:rPr>
          <w:spacing w:val="3"/>
          <w:sz w:val="22"/>
        </w:rPr>
        <w:t> </w:t>
      </w:r>
      <w:r>
        <w:rPr>
          <w:sz w:val="22"/>
        </w:rPr>
        <w:t>181,</w:t>
      </w:r>
    </w:p>
    <w:p>
      <w:pPr>
        <w:pStyle w:val="ListParagraph"/>
        <w:numPr>
          <w:ilvl w:val="0"/>
          <w:numId w:val="2"/>
        </w:numPr>
        <w:tabs>
          <w:tab w:pos="1024" w:val="left" w:leader="none"/>
          <w:tab w:pos="1025" w:val="left" w:leader="none"/>
        </w:tabs>
        <w:spacing w:line="240" w:lineRule="auto" w:before="40" w:after="0"/>
        <w:ind w:left="1024" w:right="0" w:hanging="853"/>
        <w:jc w:val="both"/>
        <w:rPr>
          <w:sz w:val="22"/>
        </w:rPr>
      </w:pPr>
      <w:r>
        <w:rPr>
          <w:sz w:val="22"/>
        </w:rPr>
        <w:t>na kanalizační síť napojit i Horní a Dolní Vítkov, Andělskou Horu a Horní</w:t>
      </w:r>
      <w:r>
        <w:rPr>
          <w:spacing w:val="-24"/>
          <w:sz w:val="22"/>
        </w:rPr>
        <w:t> </w:t>
      </w:r>
      <w:r>
        <w:rPr>
          <w:sz w:val="22"/>
        </w:rPr>
        <w:t>Chrastavu,</w:t>
      </w:r>
    </w:p>
    <w:p>
      <w:pPr>
        <w:pStyle w:val="ListParagraph"/>
        <w:numPr>
          <w:ilvl w:val="0"/>
          <w:numId w:val="1"/>
        </w:numPr>
        <w:tabs>
          <w:tab w:pos="1024" w:val="left" w:leader="none"/>
          <w:tab w:pos="1025" w:val="left" w:leader="none"/>
        </w:tabs>
        <w:spacing w:line="240" w:lineRule="auto" w:before="116" w:after="0"/>
        <w:ind w:left="1024" w:right="146" w:hanging="853"/>
        <w:jc w:val="both"/>
        <w:rPr>
          <w:sz w:val="22"/>
        </w:rPr>
      </w:pPr>
      <w:r>
        <w:rPr>
          <w:b/>
          <w:sz w:val="22"/>
        </w:rPr>
        <w:t>Stávající septiky </w:t>
      </w:r>
      <w:r>
        <w:rPr>
          <w:sz w:val="22"/>
        </w:rPr>
        <w:t>a nevyhovující domovní čistírny zrušit a splaškové vody z objektů přímo napojit na splaškovou</w:t>
      </w:r>
      <w:r>
        <w:rPr>
          <w:spacing w:val="-3"/>
          <w:sz w:val="22"/>
        </w:rPr>
        <w:t> </w:t>
      </w:r>
      <w:r>
        <w:rPr>
          <w:sz w:val="22"/>
        </w:rPr>
        <w:t>kanalizaci,</w:t>
      </w:r>
    </w:p>
    <w:p>
      <w:pPr>
        <w:pStyle w:val="ListParagraph"/>
        <w:numPr>
          <w:ilvl w:val="0"/>
          <w:numId w:val="2"/>
        </w:numPr>
        <w:tabs>
          <w:tab w:pos="1024" w:val="left" w:leader="none"/>
          <w:tab w:pos="1025" w:val="left" w:leader="none"/>
        </w:tabs>
        <w:spacing w:line="240" w:lineRule="auto" w:before="41" w:after="0"/>
        <w:ind w:left="1024" w:right="146" w:hanging="853"/>
        <w:jc w:val="both"/>
        <w:rPr>
          <w:sz w:val="22"/>
        </w:rPr>
      </w:pPr>
      <w:r>
        <w:rPr>
          <w:sz w:val="22"/>
        </w:rPr>
        <w:t>do vybudování systému veřejné kanalizace povolovat rozvoj zástavby na stabilizovaných i rozvojových plochách s využitím dočasného </w:t>
      </w:r>
      <w:r>
        <w:rPr>
          <w:b/>
          <w:sz w:val="22"/>
        </w:rPr>
        <w:t>individuálního řešení </w:t>
      </w:r>
      <w:r>
        <w:rPr>
          <w:sz w:val="22"/>
        </w:rPr>
        <w:t>likvidace odpadních vod, jehož přípustnost resp. podmínky prověří podrobná</w:t>
      </w:r>
      <w:r>
        <w:rPr>
          <w:spacing w:val="-10"/>
          <w:sz w:val="22"/>
        </w:rPr>
        <w:t> </w:t>
      </w:r>
      <w:r>
        <w:rPr>
          <w:sz w:val="22"/>
        </w:rPr>
        <w:t>dokumentace.</w:t>
      </w:r>
    </w:p>
    <w:p>
      <w:pPr>
        <w:pStyle w:val="ListParagraph"/>
        <w:numPr>
          <w:ilvl w:val="0"/>
          <w:numId w:val="1"/>
        </w:numPr>
        <w:tabs>
          <w:tab w:pos="1024" w:val="left" w:leader="none"/>
          <w:tab w:pos="1025" w:val="left" w:leader="none"/>
        </w:tabs>
        <w:spacing w:line="244" w:lineRule="auto" w:before="116" w:after="0"/>
        <w:ind w:left="1024" w:right="148" w:hanging="853"/>
        <w:jc w:val="both"/>
        <w:rPr>
          <w:sz w:val="22"/>
        </w:rPr>
      </w:pPr>
      <w:r>
        <w:rPr>
          <w:sz w:val="22"/>
        </w:rPr>
        <w:t>Stávající </w:t>
      </w:r>
      <w:r>
        <w:rPr>
          <w:b/>
          <w:sz w:val="22"/>
        </w:rPr>
        <w:t>jednotnou kanalizační síť </w:t>
      </w:r>
      <w:r>
        <w:rPr>
          <w:sz w:val="22"/>
        </w:rPr>
        <w:t>postupně převést na funkci dešťové kanalizace a nově navrženou kanalizační síť budovat jako</w:t>
      </w:r>
      <w:r>
        <w:rPr>
          <w:spacing w:val="-3"/>
          <w:sz w:val="22"/>
        </w:rPr>
        <w:t> </w:t>
      </w:r>
      <w:r>
        <w:rPr>
          <w:sz w:val="22"/>
        </w:rPr>
        <w:t>splaškovou,</w:t>
      </w:r>
    </w:p>
    <w:p>
      <w:pPr>
        <w:pStyle w:val="ListParagraph"/>
        <w:numPr>
          <w:ilvl w:val="0"/>
          <w:numId w:val="2"/>
        </w:numPr>
        <w:tabs>
          <w:tab w:pos="1024" w:val="left" w:leader="none"/>
          <w:tab w:pos="1025" w:val="left" w:leader="none"/>
        </w:tabs>
        <w:spacing w:line="240" w:lineRule="auto" w:before="34" w:after="0"/>
        <w:ind w:left="1024" w:right="148" w:hanging="853"/>
        <w:jc w:val="both"/>
        <w:rPr>
          <w:sz w:val="22"/>
        </w:rPr>
      </w:pPr>
      <w:r>
        <w:rPr>
          <w:sz w:val="22"/>
        </w:rPr>
        <w:t>vzhledem k na řadě míst velmi špatnému technickému stavu stok realizovat i pro odvod dešťových vod alespoň minimální</w:t>
      </w:r>
      <w:r>
        <w:rPr>
          <w:spacing w:val="-3"/>
          <w:sz w:val="22"/>
        </w:rPr>
        <w:t> </w:t>
      </w:r>
      <w:r>
        <w:rPr>
          <w:sz w:val="22"/>
        </w:rPr>
        <w:t>opravy.</w:t>
      </w:r>
    </w:p>
    <w:p>
      <w:pPr>
        <w:pStyle w:val="ListParagraph"/>
        <w:numPr>
          <w:ilvl w:val="0"/>
          <w:numId w:val="1"/>
        </w:numPr>
        <w:tabs>
          <w:tab w:pos="1024" w:val="left" w:leader="none"/>
          <w:tab w:pos="1025" w:val="left" w:leader="none"/>
        </w:tabs>
        <w:spacing w:line="240" w:lineRule="auto" w:before="117" w:after="0"/>
        <w:ind w:left="1024" w:right="0" w:hanging="853"/>
        <w:jc w:val="both"/>
        <w:rPr>
          <w:sz w:val="22"/>
        </w:rPr>
      </w:pPr>
      <w:r>
        <w:rPr>
          <w:sz w:val="22"/>
        </w:rPr>
        <w:t>Stávající způsob odvádění </w:t>
      </w:r>
      <w:r>
        <w:rPr>
          <w:b/>
          <w:sz w:val="22"/>
        </w:rPr>
        <w:t>dešťových vod</w:t>
      </w:r>
      <w:r>
        <w:rPr>
          <w:b/>
          <w:spacing w:val="-6"/>
          <w:sz w:val="22"/>
        </w:rPr>
        <w:t> </w:t>
      </w:r>
      <w:r>
        <w:rPr>
          <w:sz w:val="22"/>
        </w:rPr>
        <w:t>neměnit,</w:t>
      </w:r>
    </w:p>
    <w:p>
      <w:pPr>
        <w:pStyle w:val="ListParagraph"/>
        <w:numPr>
          <w:ilvl w:val="0"/>
          <w:numId w:val="2"/>
        </w:numPr>
        <w:tabs>
          <w:tab w:pos="1024" w:val="left" w:leader="none"/>
          <w:tab w:pos="1025" w:val="left" w:leader="none"/>
        </w:tabs>
        <w:spacing w:line="240" w:lineRule="auto" w:before="42" w:after="0"/>
        <w:ind w:left="1024" w:right="145" w:hanging="853"/>
        <w:jc w:val="both"/>
        <w:rPr>
          <w:sz w:val="22"/>
        </w:rPr>
      </w:pPr>
      <w:r>
        <w:rPr>
          <w:sz w:val="22"/>
        </w:rPr>
        <w:t>minimalizovat odvádění dešťových vod dešťovou kanalizací, tam, kde to dovolují lokální poměry, podložní poměry a stupeň případného znečištění těchto vod, řešit likvidaci dešťových především jejich vsakováním do terénu v</w:t>
      </w:r>
      <w:r>
        <w:rPr>
          <w:spacing w:val="-2"/>
          <w:sz w:val="22"/>
        </w:rPr>
        <w:t> </w:t>
      </w:r>
      <w:r>
        <w:rPr>
          <w:sz w:val="22"/>
        </w:rPr>
        <w:t>místě,</w:t>
      </w:r>
    </w:p>
    <w:p>
      <w:pPr>
        <w:pStyle w:val="ListParagraph"/>
        <w:numPr>
          <w:ilvl w:val="0"/>
          <w:numId w:val="2"/>
        </w:numPr>
        <w:tabs>
          <w:tab w:pos="1024" w:val="left" w:leader="none"/>
          <w:tab w:pos="1025" w:val="left" w:leader="none"/>
        </w:tabs>
        <w:spacing w:line="240" w:lineRule="auto" w:before="39" w:after="0"/>
        <w:ind w:left="1024" w:right="146" w:hanging="852"/>
        <w:jc w:val="both"/>
        <w:rPr>
          <w:sz w:val="22"/>
        </w:rPr>
      </w:pPr>
      <w:r>
        <w:rPr>
          <w:sz w:val="22"/>
        </w:rPr>
        <w:t>ostatní čisté dešťové vody svádět do stávajících povrchových sběračů v místech přirozených příkopů a dále do</w:t>
      </w:r>
      <w:r>
        <w:rPr>
          <w:spacing w:val="-1"/>
          <w:sz w:val="22"/>
        </w:rPr>
        <w:t> </w:t>
      </w:r>
      <w:r>
        <w:rPr>
          <w:sz w:val="22"/>
        </w:rPr>
        <w:t>vodotečí,</w:t>
      </w:r>
    </w:p>
    <w:p>
      <w:pPr>
        <w:pStyle w:val="ListParagraph"/>
        <w:numPr>
          <w:ilvl w:val="0"/>
          <w:numId w:val="2"/>
        </w:numPr>
        <w:tabs>
          <w:tab w:pos="1024" w:val="left" w:leader="none"/>
          <w:tab w:pos="1025" w:val="left" w:leader="none"/>
        </w:tabs>
        <w:spacing w:line="240" w:lineRule="auto" w:before="57" w:after="0"/>
        <w:ind w:left="1024" w:right="147" w:hanging="853"/>
        <w:jc w:val="both"/>
        <w:rPr>
          <w:sz w:val="22"/>
        </w:rPr>
      </w:pPr>
      <w:r>
        <w:rPr>
          <w:sz w:val="22"/>
        </w:rPr>
        <w:t>v maximální míře zamezovat nátoku balastních vod do kanalizační sítě důsledným oddělením vodotečí od kanalizačního</w:t>
      </w:r>
      <w:r>
        <w:rPr>
          <w:spacing w:val="-2"/>
          <w:sz w:val="22"/>
        </w:rPr>
        <w:t> </w:t>
      </w:r>
      <w:r>
        <w:rPr>
          <w:sz w:val="22"/>
        </w:rPr>
        <w:t>systému.</w:t>
      </w:r>
    </w:p>
    <w:p>
      <w:pPr>
        <w:pStyle w:val="ListParagraph"/>
        <w:numPr>
          <w:ilvl w:val="0"/>
          <w:numId w:val="2"/>
        </w:numPr>
        <w:tabs>
          <w:tab w:pos="1024" w:val="left" w:leader="none"/>
          <w:tab w:pos="1025" w:val="left" w:leader="none"/>
        </w:tabs>
        <w:spacing w:line="240" w:lineRule="auto" w:before="41" w:after="0"/>
        <w:ind w:left="1024" w:right="145" w:hanging="853"/>
        <w:jc w:val="both"/>
        <w:rPr>
          <w:sz w:val="22"/>
        </w:rPr>
      </w:pPr>
      <w:r>
        <w:rPr>
          <w:sz w:val="22"/>
        </w:rPr>
        <w:t>srážkové vody z parkovacích a manipulačních ploch s možností kontaminace ropnými produkty   před   jejich   svedením   do   kanalizační   sítě   zachycovat   a   předčišťovat   v odlučovačích ropných</w:t>
      </w:r>
      <w:r>
        <w:rPr>
          <w:spacing w:val="-3"/>
          <w:sz w:val="22"/>
        </w:rPr>
        <w:t> </w:t>
      </w:r>
      <w:r>
        <w:rPr>
          <w:sz w:val="22"/>
        </w:rPr>
        <w:t>látek.</w:t>
      </w:r>
    </w:p>
    <w:p>
      <w:pPr>
        <w:pStyle w:val="Heading2"/>
        <w:numPr>
          <w:ilvl w:val="2"/>
          <w:numId w:val="7"/>
        </w:numPr>
        <w:tabs>
          <w:tab w:pos="1025" w:val="left" w:leader="none"/>
        </w:tabs>
        <w:spacing w:line="240" w:lineRule="auto" w:before="177" w:after="0"/>
        <w:ind w:left="1024" w:right="0" w:hanging="853"/>
        <w:jc w:val="both"/>
      </w:pPr>
      <w:r>
        <w:rPr/>
        <w:t>ZÁSOBOVÁNÍ ELEKTRICKOU ENERGIÍ</w:t>
      </w:r>
    </w:p>
    <w:p>
      <w:pPr>
        <w:pStyle w:val="ListParagraph"/>
        <w:numPr>
          <w:ilvl w:val="0"/>
          <w:numId w:val="1"/>
        </w:numPr>
        <w:tabs>
          <w:tab w:pos="1024" w:val="left" w:leader="none"/>
          <w:tab w:pos="1025" w:val="left" w:leader="none"/>
        </w:tabs>
        <w:spacing w:line="240" w:lineRule="auto" w:before="81" w:after="0"/>
        <w:ind w:left="1024" w:right="144" w:hanging="853"/>
        <w:jc w:val="both"/>
        <w:rPr>
          <w:sz w:val="22"/>
        </w:rPr>
      </w:pPr>
      <w:r>
        <w:rPr>
          <w:sz w:val="22"/>
        </w:rPr>
        <w:t>Pro dodávku elektrické energie řešeného území nadále počítat s vedením 22 kV z transformovny Hrádek nad Nisou (110/22 kV) s možností záložní dodávky z transformovny Frýdlant Větrov (110/22</w:t>
      </w:r>
      <w:r>
        <w:rPr>
          <w:spacing w:val="-5"/>
          <w:sz w:val="22"/>
        </w:rPr>
        <w:t> </w:t>
      </w:r>
      <w:r>
        <w:rPr>
          <w:sz w:val="22"/>
        </w:rPr>
        <w:t>kV),</w:t>
      </w:r>
    </w:p>
    <w:p>
      <w:pPr>
        <w:pStyle w:val="ListParagraph"/>
        <w:numPr>
          <w:ilvl w:val="0"/>
          <w:numId w:val="2"/>
        </w:numPr>
        <w:tabs>
          <w:tab w:pos="1024" w:val="left" w:leader="none"/>
          <w:tab w:pos="1025" w:val="left" w:leader="none"/>
        </w:tabs>
        <w:spacing w:line="240" w:lineRule="auto" w:before="41" w:after="0"/>
        <w:ind w:left="1024" w:right="146" w:hanging="853"/>
        <w:jc w:val="both"/>
        <w:rPr>
          <w:sz w:val="22"/>
        </w:rPr>
      </w:pPr>
      <w:r>
        <w:rPr>
          <w:sz w:val="22"/>
        </w:rPr>
        <w:t>obchvat města nadzemními vedeními postupně doplňovat kabelovými VN propoji přes zastavěné území, na něž budou podle potřeby rozvojových ploch napojeny</w:t>
      </w:r>
      <w:r>
        <w:rPr>
          <w:spacing w:val="-31"/>
          <w:sz w:val="22"/>
        </w:rPr>
        <w:t> </w:t>
      </w:r>
      <w:r>
        <w:rPr>
          <w:sz w:val="22"/>
        </w:rPr>
        <w:t>trafostanice.</w:t>
      </w:r>
    </w:p>
    <w:p>
      <w:pPr>
        <w:pStyle w:val="Heading3"/>
        <w:spacing w:before="114"/>
        <w:ind w:left="1022"/>
      </w:pPr>
      <w:r>
        <w:rPr/>
        <w:t>VÝROBA ELEKTRICKÉ ENERGIE</w:t>
      </w:r>
    </w:p>
    <w:p>
      <w:pPr>
        <w:pStyle w:val="ListParagraph"/>
        <w:numPr>
          <w:ilvl w:val="0"/>
          <w:numId w:val="1"/>
        </w:numPr>
        <w:tabs>
          <w:tab w:pos="1024" w:val="left" w:leader="none"/>
          <w:tab w:pos="1025" w:val="left" w:leader="none"/>
        </w:tabs>
        <w:spacing w:line="240" w:lineRule="auto" w:before="83" w:after="0"/>
        <w:ind w:left="1024" w:right="0" w:hanging="853"/>
        <w:jc w:val="left"/>
        <w:rPr>
          <w:sz w:val="22"/>
        </w:rPr>
      </w:pPr>
      <w:r>
        <w:rPr>
          <w:sz w:val="22"/>
        </w:rPr>
        <w:t>Realizovat malé vodní</w:t>
      </w:r>
      <w:r>
        <w:rPr>
          <w:spacing w:val="-2"/>
          <w:sz w:val="22"/>
        </w:rPr>
        <w:t> </w:t>
      </w:r>
      <w:r>
        <w:rPr>
          <w:sz w:val="22"/>
        </w:rPr>
        <w:t>elektrárny:</w:t>
      </w:r>
    </w:p>
    <w:p>
      <w:pPr>
        <w:pStyle w:val="ListParagraph"/>
        <w:numPr>
          <w:ilvl w:val="0"/>
          <w:numId w:val="2"/>
        </w:numPr>
        <w:tabs>
          <w:tab w:pos="1024" w:val="left" w:leader="none"/>
          <w:tab w:pos="1025" w:val="left" w:leader="none"/>
        </w:tabs>
        <w:spacing w:line="240" w:lineRule="auto" w:before="40" w:after="0"/>
        <w:ind w:left="1024" w:right="0" w:hanging="853"/>
        <w:jc w:val="left"/>
        <w:rPr>
          <w:sz w:val="22"/>
        </w:rPr>
      </w:pPr>
      <w:r>
        <w:rPr>
          <w:sz w:val="22"/>
        </w:rPr>
        <w:t>MVEN1 - u stávajícího stavidlového jezu ve staničení 19.233 Lužické</w:t>
      </w:r>
      <w:r>
        <w:rPr>
          <w:spacing w:val="-8"/>
          <w:sz w:val="22"/>
        </w:rPr>
        <w:t> </w:t>
      </w:r>
      <w:r>
        <w:rPr>
          <w:sz w:val="22"/>
        </w:rPr>
        <w:t>Nisy</w:t>
      </w:r>
    </w:p>
    <w:p>
      <w:pPr>
        <w:pStyle w:val="ListParagraph"/>
        <w:numPr>
          <w:ilvl w:val="0"/>
          <w:numId w:val="2"/>
        </w:numPr>
        <w:tabs>
          <w:tab w:pos="1024" w:val="left" w:leader="none"/>
          <w:tab w:pos="1025" w:val="left" w:leader="none"/>
        </w:tabs>
        <w:spacing w:line="240" w:lineRule="auto" w:before="41" w:after="0"/>
        <w:ind w:left="1024" w:right="0" w:hanging="853"/>
        <w:jc w:val="left"/>
        <w:rPr>
          <w:sz w:val="22"/>
        </w:rPr>
      </w:pPr>
      <w:r>
        <w:rPr>
          <w:sz w:val="22"/>
        </w:rPr>
        <w:t>MVEN2 - s náhonem a odpadem ve staničení 1.8-2.7 na</w:t>
      </w:r>
      <w:r>
        <w:rPr>
          <w:spacing w:val="-5"/>
          <w:sz w:val="22"/>
        </w:rPr>
        <w:t> </w:t>
      </w:r>
      <w:r>
        <w:rPr>
          <w:sz w:val="22"/>
        </w:rPr>
        <w:t>Jeřici.</w:t>
      </w:r>
    </w:p>
    <w:p>
      <w:pPr>
        <w:pStyle w:val="ListParagraph"/>
        <w:numPr>
          <w:ilvl w:val="0"/>
          <w:numId w:val="1"/>
        </w:numPr>
        <w:tabs>
          <w:tab w:pos="1024" w:val="left" w:leader="none"/>
          <w:tab w:pos="1025" w:val="left" w:leader="none"/>
        </w:tabs>
        <w:spacing w:line="240" w:lineRule="auto" w:before="78" w:after="0"/>
        <w:ind w:left="1024" w:right="145" w:hanging="853"/>
        <w:jc w:val="left"/>
        <w:rPr>
          <w:sz w:val="22"/>
        </w:rPr>
      </w:pPr>
      <w:r>
        <w:rPr>
          <w:sz w:val="22"/>
        </w:rPr>
        <w:t>Komerční větrné, solární resp. jiné ekologické elektrárny umisťovat pouze v rámci přípustného využití ploch výroby a skladování</w:t>
      </w:r>
      <w:r>
        <w:rPr>
          <w:spacing w:val="-7"/>
          <w:sz w:val="22"/>
        </w:rPr>
        <w:t> </w:t>
      </w:r>
      <w:r>
        <w:rPr>
          <w:sz w:val="22"/>
        </w:rPr>
        <w:t>(E),</w:t>
      </w:r>
    </w:p>
    <w:p>
      <w:pPr>
        <w:pStyle w:val="ListParagraph"/>
        <w:numPr>
          <w:ilvl w:val="0"/>
          <w:numId w:val="2"/>
        </w:numPr>
        <w:tabs>
          <w:tab w:pos="1024" w:val="left" w:leader="none"/>
          <w:tab w:pos="1025" w:val="left" w:leader="none"/>
        </w:tabs>
        <w:spacing w:line="240" w:lineRule="auto" w:before="41" w:after="0"/>
        <w:ind w:left="1024" w:right="146" w:hanging="853"/>
        <w:jc w:val="left"/>
        <w:rPr>
          <w:sz w:val="22"/>
        </w:rPr>
      </w:pPr>
      <w:r>
        <w:rPr>
          <w:sz w:val="22"/>
        </w:rPr>
        <w:t>umožnit výstavbu malých ekologických elektráren se samozásobitelskou funkcí jako nedílnou součást objektů a areálů jiné</w:t>
      </w:r>
      <w:r>
        <w:rPr>
          <w:spacing w:val="-5"/>
          <w:sz w:val="22"/>
        </w:rPr>
        <w:t> </w:t>
      </w:r>
      <w:r>
        <w:rPr>
          <w:sz w:val="22"/>
        </w:rPr>
        <w:t>funkce.</w:t>
      </w:r>
    </w:p>
    <w:p>
      <w:pPr>
        <w:pStyle w:val="Heading3"/>
        <w:spacing w:before="112"/>
        <w:ind w:left="1022"/>
      </w:pPr>
      <w:r>
        <w:rPr/>
        <w:t>ELEKTRIFIKACE</w:t>
      </w:r>
    </w:p>
    <w:p>
      <w:pPr>
        <w:pStyle w:val="ListParagraph"/>
        <w:numPr>
          <w:ilvl w:val="0"/>
          <w:numId w:val="1"/>
        </w:numPr>
        <w:tabs>
          <w:tab w:pos="1024" w:val="left" w:leader="none"/>
          <w:tab w:pos="1025" w:val="left" w:leader="none"/>
        </w:tabs>
        <w:spacing w:line="240" w:lineRule="auto" w:before="83" w:after="0"/>
        <w:ind w:left="1024" w:right="144" w:hanging="853"/>
        <w:jc w:val="both"/>
        <w:rPr>
          <w:sz w:val="22"/>
        </w:rPr>
      </w:pPr>
      <w:r>
        <w:rPr>
          <w:sz w:val="22"/>
        </w:rPr>
        <w:t>Pro uspokojení potřeb města Chrastava v období do roku 2030 počítat především díky realizaci navržených  zastavitelných  ploch  a  intenzifikaci  využití  stabilizovaných  ploch s </w:t>
      </w:r>
      <w:r>
        <w:rPr>
          <w:b/>
          <w:sz w:val="22"/>
        </w:rPr>
        <w:t>navýšením odběru </w:t>
      </w:r>
      <w:r>
        <w:rPr>
          <w:sz w:val="22"/>
        </w:rPr>
        <w:t>elektrické energie o 2,5</w:t>
      </w:r>
      <w:r>
        <w:rPr>
          <w:spacing w:val="-4"/>
          <w:sz w:val="22"/>
        </w:rPr>
        <w:t> </w:t>
      </w:r>
      <w:r>
        <w:rPr>
          <w:sz w:val="22"/>
        </w:rPr>
        <w:t>MW,</w:t>
      </w:r>
    </w:p>
    <w:p>
      <w:pPr>
        <w:pStyle w:val="ListParagraph"/>
        <w:numPr>
          <w:ilvl w:val="0"/>
          <w:numId w:val="2"/>
        </w:numPr>
        <w:tabs>
          <w:tab w:pos="1024" w:val="left" w:leader="none"/>
          <w:tab w:pos="1025" w:val="left" w:leader="none"/>
        </w:tabs>
        <w:spacing w:line="240" w:lineRule="auto" w:before="43" w:after="0"/>
        <w:ind w:left="1024" w:right="149" w:hanging="852"/>
        <w:jc w:val="both"/>
        <w:rPr>
          <w:sz w:val="22"/>
        </w:rPr>
      </w:pPr>
      <w:r>
        <w:rPr>
          <w:sz w:val="22"/>
        </w:rPr>
        <w:t>rozvojové plochy připojovat ze  stávajících  rozvodů  NN  po  jejich  posílení a  rozšíření,  z nových rozvodů NN a z nově navržených</w:t>
      </w:r>
      <w:r>
        <w:rPr>
          <w:spacing w:val="-3"/>
          <w:sz w:val="22"/>
        </w:rPr>
        <w:t> </w:t>
      </w:r>
      <w:r>
        <w:rPr>
          <w:sz w:val="22"/>
        </w:rPr>
        <w:t>trafostanic,</w:t>
      </w:r>
    </w:p>
    <w:p>
      <w:pPr>
        <w:spacing w:after="0" w:line="240" w:lineRule="auto"/>
        <w:jc w:val="both"/>
        <w:rPr>
          <w:sz w:val="22"/>
        </w:rPr>
        <w:sectPr>
          <w:pgSz w:w="11900" w:h="16840"/>
          <w:pgMar w:header="557" w:footer="582" w:top="760" w:bottom="780" w:left="960" w:right="980"/>
        </w:sectPr>
      </w:pPr>
    </w:p>
    <w:p>
      <w:pPr>
        <w:pStyle w:val="BodyText"/>
        <w:spacing w:before="4"/>
        <w:ind w:left="0" w:firstLine="0"/>
        <w:jc w:val="left"/>
        <w:rPr>
          <w:sz w:val="21"/>
        </w:rPr>
      </w:pPr>
    </w:p>
    <w:p>
      <w:pPr>
        <w:pStyle w:val="ListParagraph"/>
        <w:numPr>
          <w:ilvl w:val="0"/>
          <w:numId w:val="2"/>
        </w:numPr>
        <w:tabs>
          <w:tab w:pos="1024" w:val="left" w:leader="none"/>
          <w:tab w:pos="1025" w:val="left" w:leader="none"/>
        </w:tabs>
        <w:spacing w:line="240" w:lineRule="auto" w:before="114" w:after="0"/>
        <w:ind w:left="1024" w:right="146" w:hanging="852"/>
        <w:jc w:val="both"/>
        <w:rPr>
          <w:sz w:val="22"/>
        </w:rPr>
      </w:pPr>
      <w:r>
        <w:rPr>
          <w:sz w:val="22"/>
        </w:rPr>
        <w:t>přitom elektrickou energii využívat k vytápění a ohřevu TUV pouze okrajově v částech města nepokrytých SCZT a rozvody</w:t>
      </w:r>
      <w:r>
        <w:rPr>
          <w:spacing w:val="-7"/>
          <w:sz w:val="22"/>
        </w:rPr>
        <w:t> </w:t>
      </w:r>
      <w:r>
        <w:rPr>
          <w:sz w:val="22"/>
        </w:rPr>
        <w:t>plynu.</w:t>
      </w:r>
    </w:p>
    <w:p>
      <w:pPr>
        <w:pStyle w:val="ListParagraph"/>
        <w:numPr>
          <w:ilvl w:val="0"/>
          <w:numId w:val="1"/>
        </w:numPr>
        <w:tabs>
          <w:tab w:pos="1024" w:val="left" w:leader="none"/>
          <w:tab w:pos="1025" w:val="left" w:leader="none"/>
        </w:tabs>
        <w:spacing w:line="242" w:lineRule="auto" w:before="115" w:after="0"/>
        <w:ind w:left="1024" w:right="148" w:hanging="852"/>
        <w:jc w:val="both"/>
        <w:rPr>
          <w:sz w:val="22"/>
        </w:rPr>
      </w:pPr>
      <w:r>
        <w:rPr>
          <w:b/>
          <w:sz w:val="22"/>
        </w:rPr>
        <w:t>Soustavu rozvodů VN </w:t>
      </w:r>
      <w:r>
        <w:rPr>
          <w:sz w:val="22"/>
        </w:rPr>
        <w:t>pro napájení transformoven VN/NN tvořenou převážně vrchními vedeními 35 kV a kabelovými rozvody 22 kV postupně doplňovat v návaznosti na požadavky o připojení nových odběrných</w:t>
      </w:r>
      <w:r>
        <w:rPr>
          <w:spacing w:val="-7"/>
          <w:sz w:val="22"/>
        </w:rPr>
        <w:t> </w:t>
      </w:r>
      <w:r>
        <w:rPr>
          <w:sz w:val="22"/>
        </w:rPr>
        <w:t>míst.</w:t>
      </w:r>
    </w:p>
    <w:p>
      <w:pPr>
        <w:pStyle w:val="ListParagraph"/>
        <w:numPr>
          <w:ilvl w:val="0"/>
          <w:numId w:val="1"/>
        </w:numPr>
        <w:tabs>
          <w:tab w:pos="1024" w:val="left" w:leader="none"/>
          <w:tab w:pos="1025" w:val="left" w:leader="none"/>
        </w:tabs>
        <w:spacing w:line="240" w:lineRule="auto" w:before="73" w:after="0"/>
        <w:ind w:left="1024" w:right="0" w:hanging="853"/>
        <w:jc w:val="left"/>
        <w:rPr>
          <w:b/>
          <w:sz w:val="22"/>
        </w:rPr>
      </w:pPr>
      <w:r>
        <w:rPr>
          <w:sz w:val="22"/>
        </w:rPr>
        <w:t>Na VN elektrické síti provést následující</w:t>
      </w:r>
      <w:r>
        <w:rPr>
          <w:spacing w:val="-5"/>
          <w:sz w:val="22"/>
        </w:rPr>
        <w:t> </w:t>
      </w:r>
      <w:r>
        <w:rPr>
          <w:b/>
          <w:sz w:val="22"/>
        </w:rPr>
        <w:t>úpravy:</w:t>
      </w:r>
    </w:p>
    <w:p>
      <w:pPr>
        <w:pStyle w:val="Heading3"/>
        <w:numPr>
          <w:ilvl w:val="0"/>
          <w:numId w:val="2"/>
        </w:numPr>
        <w:tabs>
          <w:tab w:pos="1024" w:val="left" w:leader="none"/>
          <w:tab w:pos="1025" w:val="left" w:leader="none"/>
        </w:tabs>
        <w:spacing w:line="240" w:lineRule="auto" w:before="40" w:after="0"/>
        <w:ind w:left="1024" w:right="0" w:hanging="853"/>
        <w:jc w:val="left"/>
        <w:rPr>
          <w:b w:val="0"/>
        </w:rPr>
      </w:pPr>
      <w:r>
        <w:rPr/>
        <w:t>k.ú. Dolní</w:t>
      </w:r>
      <w:r>
        <w:rPr>
          <w:spacing w:val="-3"/>
        </w:rPr>
        <w:t> </w:t>
      </w:r>
      <w:r>
        <w:rPr/>
        <w:t>Chrastava</w:t>
      </w:r>
      <w:r>
        <w:rPr>
          <w:b w:val="0"/>
        </w:rPr>
        <w:t>:</w:t>
      </w:r>
    </w:p>
    <w:p>
      <w:pPr>
        <w:pStyle w:val="ListParagraph"/>
        <w:numPr>
          <w:ilvl w:val="0"/>
          <w:numId w:val="2"/>
        </w:numPr>
        <w:tabs>
          <w:tab w:pos="1024" w:val="left" w:leader="none"/>
          <w:tab w:pos="1025" w:val="left" w:leader="none"/>
        </w:tabs>
        <w:spacing w:line="240" w:lineRule="auto" w:before="42" w:after="0"/>
        <w:ind w:left="1024" w:right="0" w:hanging="853"/>
        <w:jc w:val="left"/>
        <w:rPr>
          <w:sz w:val="22"/>
        </w:rPr>
      </w:pPr>
      <w:r>
        <w:rPr>
          <w:sz w:val="22"/>
        </w:rPr>
        <w:t>vybudovat trafostanici TN5 s nadzemní vedením VN 22</w:t>
      </w:r>
      <w:r>
        <w:rPr>
          <w:spacing w:val="-6"/>
          <w:sz w:val="22"/>
        </w:rPr>
        <w:t> </w:t>
      </w:r>
      <w:r>
        <w:rPr>
          <w:sz w:val="22"/>
        </w:rPr>
        <w:t>kV,</w:t>
      </w:r>
    </w:p>
    <w:p>
      <w:pPr>
        <w:pStyle w:val="ListParagraph"/>
        <w:numPr>
          <w:ilvl w:val="0"/>
          <w:numId w:val="2"/>
        </w:numPr>
        <w:tabs>
          <w:tab w:pos="1024" w:val="left" w:leader="none"/>
          <w:tab w:pos="1025" w:val="left" w:leader="none"/>
        </w:tabs>
        <w:spacing w:line="240" w:lineRule="auto" w:before="38" w:after="0"/>
        <w:ind w:left="1024" w:right="0" w:hanging="853"/>
        <w:jc w:val="left"/>
        <w:rPr>
          <w:sz w:val="22"/>
        </w:rPr>
      </w:pPr>
      <w:r>
        <w:rPr>
          <w:sz w:val="22"/>
        </w:rPr>
        <w:t>vybudovat trafostanici TN7 s nadzemním vedením VN 22</w:t>
      </w:r>
      <w:r>
        <w:rPr>
          <w:spacing w:val="-3"/>
          <w:sz w:val="22"/>
        </w:rPr>
        <w:t> </w:t>
      </w:r>
      <w:r>
        <w:rPr>
          <w:sz w:val="22"/>
        </w:rPr>
        <w:t>kV,</w:t>
      </w:r>
    </w:p>
    <w:p>
      <w:pPr>
        <w:pStyle w:val="ListParagraph"/>
        <w:numPr>
          <w:ilvl w:val="0"/>
          <w:numId w:val="2"/>
        </w:numPr>
        <w:tabs>
          <w:tab w:pos="1024" w:val="left" w:leader="none"/>
          <w:tab w:pos="1025" w:val="left" w:leader="none"/>
        </w:tabs>
        <w:spacing w:line="240" w:lineRule="auto" w:before="42" w:after="0"/>
        <w:ind w:left="1024" w:right="0" w:hanging="853"/>
        <w:jc w:val="left"/>
        <w:rPr>
          <w:sz w:val="22"/>
        </w:rPr>
      </w:pPr>
      <w:r>
        <w:rPr>
          <w:sz w:val="22"/>
        </w:rPr>
        <w:t>vybudovat trafostanici TN8 s kabelovým vedením VN 22</w:t>
      </w:r>
      <w:r>
        <w:rPr>
          <w:spacing w:val="-6"/>
          <w:sz w:val="22"/>
        </w:rPr>
        <w:t> </w:t>
      </w:r>
      <w:r>
        <w:rPr>
          <w:sz w:val="22"/>
        </w:rPr>
        <w:t>kV,</w:t>
      </w:r>
    </w:p>
    <w:p>
      <w:pPr>
        <w:pStyle w:val="ListParagraph"/>
        <w:numPr>
          <w:ilvl w:val="0"/>
          <w:numId w:val="2"/>
        </w:numPr>
        <w:tabs>
          <w:tab w:pos="1024" w:val="left" w:leader="none"/>
          <w:tab w:pos="1025" w:val="left" w:leader="none"/>
        </w:tabs>
        <w:spacing w:line="240" w:lineRule="auto" w:before="38" w:after="0"/>
        <w:ind w:left="1024" w:right="0" w:hanging="853"/>
        <w:jc w:val="left"/>
        <w:rPr>
          <w:sz w:val="22"/>
        </w:rPr>
      </w:pPr>
      <w:r>
        <w:rPr>
          <w:sz w:val="22"/>
        </w:rPr>
        <w:t>přeložit nadzemní vedení VN 22 kV mezi trafostanicemi T756, T724, T618 do</w:t>
      </w:r>
      <w:r>
        <w:rPr>
          <w:spacing w:val="-29"/>
          <w:sz w:val="22"/>
        </w:rPr>
        <w:t> </w:t>
      </w:r>
      <w:r>
        <w:rPr>
          <w:sz w:val="22"/>
        </w:rPr>
        <w:t>kabelu,</w:t>
      </w:r>
    </w:p>
    <w:p>
      <w:pPr>
        <w:pStyle w:val="ListParagraph"/>
        <w:numPr>
          <w:ilvl w:val="0"/>
          <w:numId w:val="2"/>
        </w:numPr>
        <w:tabs>
          <w:tab w:pos="1024" w:val="left" w:leader="none"/>
          <w:tab w:pos="1025" w:val="left" w:leader="none"/>
        </w:tabs>
        <w:spacing w:line="240" w:lineRule="auto" w:before="39" w:after="0"/>
        <w:ind w:left="1024" w:right="0" w:hanging="853"/>
        <w:jc w:val="left"/>
        <w:rPr>
          <w:sz w:val="22"/>
        </w:rPr>
      </w:pPr>
      <w:r>
        <w:rPr>
          <w:sz w:val="22"/>
        </w:rPr>
        <w:t>vybudovat trafostanice TN625 a</w:t>
      </w:r>
      <w:r>
        <w:rPr>
          <w:spacing w:val="-3"/>
          <w:sz w:val="22"/>
        </w:rPr>
        <w:t> </w:t>
      </w:r>
      <w:r>
        <w:rPr>
          <w:sz w:val="22"/>
        </w:rPr>
        <w:t>TN3,</w:t>
      </w:r>
    </w:p>
    <w:p>
      <w:pPr>
        <w:pStyle w:val="Heading3"/>
        <w:numPr>
          <w:ilvl w:val="0"/>
          <w:numId w:val="2"/>
        </w:numPr>
        <w:tabs>
          <w:tab w:pos="1024" w:val="left" w:leader="none"/>
          <w:tab w:pos="1025" w:val="left" w:leader="none"/>
        </w:tabs>
        <w:spacing w:line="240" w:lineRule="auto" w:before="37" w:after="0"/>
        <w:ind w:left="1024" w:right="0" w:hanging="853"/>
        <w:jc w:val="left"/>
        <w:rPr>
          <w:b w:val="0"/>
        </w:rPr>
      </w:pPr>
      <w:r>
        <w:rPr/>
        <w:t>k.ú. Dolní Chrastava, Dolní</w:t>
      </w:r>
      <w:r>
        <w:rPr>
          <w:spacing w:val="-2"/>
        </w:rPr>
        <w:t> </w:t>
      </w:r>
      <w:r>
        <w:rPr/>
        <w:t>Vítkov</w:t>
      </w:r>
      <w:r>
        <w:rPr>
          <w:b w:val="0"/>
        </w:rPr>
        <w:t>:</w:t>
      </w:r>
    </w:p>
    <w:p>
      <w:pPr>
        <w:pStyle w:val="ListParagraph"/>
        <w:numPr>
          <w:ilvl w:val="0"/>
          <w:numId w:val="2"/>
        </w:numPr>
        <w:tabs>
          <w:tab w:pos="1024" w:val="left" w:leader="none"/>
          <w:tab w:pos="1025" w:val="left" w:leader="none"/>
        </w:tabs>
        <w:spacing w:line="240" w:lineRule="auto" w:before="41" w:after="0"/>
        <w:ind w:left="1024" w:right="0" w:hanging="853"/>
        <w:jc w:val="left"/>
        <w:rPr>
          <w:sz w:val="22"/>
        </w:rPr>
      </w:pPr>
      <w:r>
        <w:rPr>
          <w:sz w:val="22"/>
        </w:rPr>
        <w:t>vybudovat trafostanici TN10 s nadzemním vedením VN 22</w:t>
      </w:r>
      <w:r>
        <w:rPr>
          <w:spacing w:val="-2"/>
          <w:sz w:val="22"/>
        </w:rPr>
        <w:t> </w:t>
      </w:r>
      <w:r>
        <w:rPr>
          <w:sz w:val="22"/>
        </w:rPr>
        <w:t>kV,</w:t>
      </w:r>
    </w:p>
    <w:p>
      <w:pPr>
        <w:pStyle w:val="Heading3"/>
        <w:numPr>
          <w:ilvl w:val="0"/>
          <w:numId w:val="2"/>
        </w:numPr>
        <w:tabs>
          <w:tab w:pos="1024" w:val="left" w:leader="none"/>
          <w:tab w:pos="1025" w:val="left" w:leader="none"/>
        </w:tabs>
        <w:spacing w:line="240" w:lineRule="auto" w:before="36" w:after="0"/>
        <w:ind w:left="1024" w:right="0" w:hanging="853"/>
        <w:jc w:val="left"/>
      </w:pPr>
      <w:r>
        <w:rPr/>
        <w:t>k.ú. Chrastava</w:t>
      </w:r>
      <w:r>
        <w:rPr>
          <w:spacing w:val="-2"/>
        </w:rPr>
        <w:t> </w:t>
      </w:r>
      <w:r>
        <w:rPr/>
        <w:t>I:</w:t>
      </w:r>
    </w:p>
    <w:p>
      <w:pPr>
        <w:pStyle w:val="ListParagraph"/>
        <w:numPr>
          <w:ilvl w:val="0"/>
          <w:numId w:val="2"/>
        </w:numPr>
        <w:tabs>
          <w:tab w:pos="1024" w:val="left" w:leader="none"/>
          <w:tab w:pos="1025" w:val="left" w:leader="none"/>
        </w:tabs>
        <w:spacing w:line="240" w:lineRule="auto" w:before="42" w:after="0"/>
        <w:ind w:left="1024" w:right="0" w:hanging="853"/>
        <w:jc w:val="left"/>
        <w:rPr>
          <w:sz w:val="22"/>
        </w:rPr>
      </w:pPr>
      <w:r>
        <w:rPr>
          <w:sz w:val="22"/>
        </w:rPr>
        <w:t>vybudovat trafostanici TN4 s kabelovým vedením VN 22</w:t>
      </w:r>
      <w:r>
        <w:rPr>
          <w:spacing w:val="-6"/>
          <w:sz w:val="22"/>
        </w:rPr>
        <w:t> </w:t>
      </w:r>
      <w:r>
        <w:rPr>
          <w:sz w:val="22"/>
        </w:rPr>
        <w:t>kV,</w:t>
      </w:r>
    </w:p>
    <w:p>
      <w:pPr>
        <w:pStyle w:val="ListParagraph"/>
        <w:numPr>
          <w:ilvl w:val="0"/>
          <w:numId w:val="2"/>
        </w:numPr>
        <w:tabs>
          <w:tab w:pos="1024" w:val="left" w:leader="none"/>
          <w:tab w:pos="1025" w:val="left" w:leader="none"/>
        </w:tabs>
        <w:spacing w:line="240" w:lineRule="auto" w:before="39" w:after="0"/>
        <w:ind w:left="1024" w:right="0" w:hanging="853"/>
        <w:jc w:val="left"/>
        <w:rPr>
          <w:sz w:val="22"/>
        </w:rPr>
      </w:pPr>
      <w:r>
        <w:rPr>
          <w:sz w:val="22"/>
        </w:rPr>
        <w:t>vybudovat trafostanici TN6 s nadzemním vedením VN 22</w:t>
      </w:r>
      <w:r>
        <w:rPr>
          <w:spacing w:val="-21"/>
          <w:sz w:val="22"/>
        </w:rPr>
        <w:t> </w:t>
      </w:r>
      <w:r>
        <w:rPr>
          <w:sz w:val="22"/>
        </w:rPr>
        <w:t>kV,</w:t>
      </w:r>
    </w:p>
    <w:p>
      <w:pPr>
        <w:pStyle w:val="ListParagraph"/>
        <w:numPr>
          <w:ilvl w:val="0"/>
          <w:numId w:val="2"/>
        </w:numPr>
        <w:tabs>
          <w:tab w:pos="1024" w:val="left" w:leader="none"/>
          <w:tab w:pos="1025" w:val="left" w:leader="none"/>
        </w:tabs>
        <w:spacing w:line="240" w:lineRule="auto" w:before="38" w:after="0"/>
        <w:ind w:left="1024" w:right="0" w:hanging="853"/>
        <w:jc w:val="left"/>
        <w:rPr>
          <w:sz w:val="22"/>
        </w:rPr>
      </w:pPr>
      <w:r>
        <w:rPr>
          <w:sz w:val="22"/>
        </w:rPr>
        <w:t>vybudovat trafostanici TN9 s nadzemním vedením VN 22</w:t>
      </w:r>
      <w:r>
        <w:rPr>
          <w:spacing w:val="-21"/>
          <w:sz w:val="22"/>
        </w:rPr>
        <w:t> </w:t>
      </w:r>
      <w:r>
        <w:rPr>
          <w:sz w:val="22"/>
        </w:rPr>
        <w:t>kV,</w:t>
      </w:r>
    </w:p>
    <w:p>
      <w:pPr>
        <w:pStyle w:val="Heading3"/>
        <w:numPr>
          <w:ilvl w:val="0"/>
          <w:numId w:val="2"/>
        </w:numPr>
        <w:tabs>
          <w:tab w:pos="1024" w:val="left" w:leader="none"/>
          <w:tab w:pos="1025" w:val="left" w:leader="none"/>
        </w:tabs>
        <w:spacing w:line="240" w:lineRule="auto" w:before="37" w:after="0"/>
        <w:ind w:left="1024" w:right="0" w:hanging="853"/>
        <w:jc w:val="left"/>
      </w:pPr>
      <w:r>
        <w:rPr/>
        <w:t>k.ú. Chrastava</w:t>
      </w:r>
      <w:r>
        <w:rPr>
          <w:spacing w:val="-2"/>
        </w:rPr>
        <w:t> </w:t>
      </w:r>
      <w:r>
        <w:rPr/>
        <w:t>II:</w:t>
      </w:r>
    </w:p>
    <w:p>
      <w:pPr>
        <w:pStyle w:val="ListParagraph"/>
        <w:numPr>
          <w:ilvl w:val="0"/>
          <w:numId w:val="2"/>
        </w:numPr>
        <w:tabs>
          <w:tab w:pos="1024" w:val="left" w:leader="none"/>
          <w:tab w:pos="1025" w:val="left" w:leader="none"/>
        </w:tabs>
        <w:spacing w:line="240" w:lineRule="auto" w:before="41" w:after="0"/>
        <w:ind w:left="1024" w:right="0" w:hanging="853"/>
        <w:jc w:val="left"/>
        <w:rPr>
          <w:sz w:val="22"/>
        </w:rPr>
      </w:pPr>
      <w:r>
        <w:rPr>
          <w:sz w:val="22"/>
        </w:rPr>
        <w:t>přeložit nadzemní vedení k trafostanicím T638 a T637 do</w:t>
      </w:r>
      <w:r>
        <w:rPr>
          <w:spacing w:val="-14"/>
          <w:sz w:val="22"/>
        </w:rPr>
        <w:t> </w:t>
      </w:r>
      <w:r>
        <w:rPr>
          <w:sz w:val="22"/>
        </w:rPr>
        <w:t>kabelu,</w:t>
      </w:r>
    </w:p>
    <w:p>
      <w:pPr>
        <w:pStyle w:val="Heading3"/>
        <w:numPr>
          <w:ilvl w:val="0"/>
          <w:numId w:val="2"/>
        </w:numPr>
        <w:tabs>
          <w:tab w:pos="1024" w:val="left" w:leader="none"/>
          <w:tab w:pos="1025" w:val="left" w:leader="none"/>
        </w:tabs>
        <w:spacing w:line="240" w:lineRule="auto" w:before="37" w:after="0"/>
        <w:ind w:left="1024" w:right="0" w:hanging="853"/>
        <w:jc w:val="left"/>
      </w:pPr>
      <w:r>
        <w:rPr/>
        <w:t>k.ú. Horní</w:t>
      </w:r>
      <w:r>
        <w:rPr>
          <w:spacing w:val="-3"/>
        </w:rPr>
        <w:t> </w:t>
      </w:r>
      <w:r>
        <w:rPr/>
        <w:t>Chrastava:</w:t>
      </w:r>
    </w:p>
    <w:p>
      <w:pPr>
        <w:pStyle w:val="ListParagraph"/>
        <w:numPr>
          <w:ilvl w:val="0"/>
          <w:numId w:val="2"/>
        </w:numPr>
        <w:tabs>
          <w:tab w:pos="1024" w:val="left" w:leader="none"/>
          <w:tab w:pos="1025" w:val="left" w:leader="none"/>
        </w:tabs>
        <w:spacing w:line="240" w:lineRule="auto" w:before="41" w:after="0"/>
        <w:ind w:left="1024" w:right="0" w:hanging="853"/>
        <w:jc w:val="left"/>
        <w:rPr>
          <w:sz w:val="22"/>
        </w:rPr>
      </w:pPr>
      <w:r>
        <w:rPr>
          <w:sz w:val="22"/>
        </w:rPr>
        <w:t>vybudovat trafostanici TN1 s nadzemním vedením VN 22</w:t>
      </w:r>
      <w:r>
        <w:rPr>
          <w:spacing w:val="-3"/>
          <w:sz w:val="22"/>
        </w:rPr>
        <w:t> </w:t>
      </w:r>
      <w:r>
        <w:rPr>
          <w:sz w:val="22"/>
        </w:rPr>
        <w:t>kV,</w:t>
      </w:r>
    </w:p>
    <w:p>
      <w:pPr>
        <w:pStyle w:val="ListParagraph"/>
        <w:numPr>
          <w:ilvl w:val="0"/>
          <w:numId w:val="1"/>
        </w:numPr>
        <w:tabs>
          <w:tab w:pos="1024" w:val="left" w:leader="none"/>
          <w:tab w:pos="1025" w:val="left" w:leader="none"/>
        </w:tabs>
        <w:spacing w:line="240" w:lineRule="auto" w:before="116" w:after="0"/>
        <w:ind w:left="1024" w:right="0" w:hanging="853"/>
        <w:jc w:val="left"/>
        <w:rPr>
          <w:sz w:val="22"/>
        </w:rPr>
      </w:pPr>
      <w:r>
        <w:rPr>
          <w:b/>
          <w:sz w:val="22"/>
        </w:rPr>
        <w:t>Umístění trafostanic </w:t>
      </w:r>
      <w:r>
        <w:rPr>
          <w:sz w:val="22"/>
        </w:rPr>
        <w:t>VN/NN připouštět v rámci regulativů všech zastavitelných</w:t>
      </w:r>
      <w:r>
        <w:rPr>
          <w:spacing w:val="-22"/>
          <w:sz w:val="22"/>
        </w:rPr>
        <w:t> </w:t>
      </w:r>
      <w:r>
        <w:rPr>
          <w:sz w:val="22"/>
        </w:rPr>
        <w:t>ploch,</w:t>
      </w:r>
    </w:p>
    <w:p>
      <w:pPr>
        <w:pStyle w:val="ListParagraph"/>
        <w:numPr>
          <w:ilvl w:val="0"/>
          <w:numId w:val="2"/>
        </w:numPr>
        <w:tabs>
          <w:tab w:pos="1024" w:val="left" w:leader="none"/>
          <w:tab w:pos="1025" w:val="left" w:leader="none"/>
        </w:tabs>
        <w:spacing w:line="240" w:lineRule="auto" w:before="63" w:after="0"/>
        <w:ind w:left="1024" w:right="143" w:hanging="852"/>
        <w:jc w:val="left"/>
        <w:rPr>
          <w:sz w:val="22"/>
        </w:rPr>
      </w:pPr>
      <w:r>
        <w:rPr>
          <w:sz w:val="22"/>
        </w:rPr>
        <w:t>jejich polohu a trasy připojovacích vedení VN upřesňovat na základě žádosti o připojení nových odběrných míst a podrobného výpočtu zatížení</w:t>
      </w:r>
      <w:r>
        <w:rPr>
          <w:spacing w:val="-9"/>
          <w:sz w:val="22"/>
        </w:rPr>
        <w:t> </w:t>
      </w:r>
      <w:r>
        <w:rPr>
          <w:sz w:val="22"/>
        </w:rPr>
        <w:t>sítě.</w:t>
      </w:r>
    </w:p>
    <w:p>
      <w:pPr>
        <w:pStyle w:val="Heading2"/>
        <w:numPr>
          <w:ilvl w:val="2"/>
          <w:numId w:val="7"/>
        </w:numPr>
        <w:tabs>
          <w:tab w:pos="1024" w:val="left" w:leader="none"/>
          <w:tab w:pos="1025" w:val="left" w:leader="none"/>
        </w:tabs>
        <w:spacing w:line="240" w:lineRule="auto" w:before="178" w:after="0"/>
        <w:ind w:left="1024" w:right="0" w:hanging="853"/>
        <w:jc w:val="left"/>
      </w:pPr>
      <w:r>
        <w:rPr/>
        <w:t>ZÁSOBOVÁNÍ</w:t>
      </w:r>
      <w:r>
        <w:rPr>
          <w:spacing w:val="1"/>
        </w:rPr>
        <w:t> </w:t>
      </w:r>
      <w:r>
        <w:rPr/>
        <w:t>TEPLEM</w:t>
      </w:r>
    </w:p>
    <w:p>
      <w:pPr>
        <w:pStyle w:val="ListParagraph"/>
        <w:numPr>
          <w:ilvl w:val="0"/>
          <w:numId w:val="1"/>
        </w:numPr>
        <w:tabs>
          <w:tab w:pos="1024" w:val="left" w:leader="none"/>
          <w:tab w:pos="1025" w:val="left" w:leader="none"/>
        </w:tabs>
        <w:spacing w:line="244" w:lineRule="auto" w:before="77" w:after="0"/>
        <w:ind w:left="1024" w:right="146" w:hanging="852"/>
        <w:jc w:val="left"/>
        <w:rPr>
          <w:sz w:val="22"/>
        </w:rPr>
      </w:pPr>
      <w:r>
        <w:rPr>
          <w:b/>
          <w:sz w:val="22"/>
        </w:rPr>
        <w:t>Energetickou koncepci </w:t>
      </w:r>
      <w:r>
        <w:rPr>
          <w:sz w:val="22"/>
        </w:rPr>
        <w:t>města Chrastava nadále zakládat na plošné plynofikaci města a na zásobování teplem ze dvou centrálních</w:t>
      </w:r>
      <w:r>
        <w:rPr>
          <w:spacing w:val="-3"/>
          <w:sz w:val="22"/>
        </w:rPr>
        <w:t> </w:t>
      </w:r>
      <w:r>
        <w:rPr>
          <w:sz w:val="22"/>
        </w:rPr>
        <w:t>zdrojů:</w:t>
      </w:r>
    </w:p>
    <w:p>
      <w:pPr>
        <w:pStyle w:val="ListParagraph"/>
        <w:numPr>
          <w:ilvl w:val="0"/>
          <w:numId w:val="2"/>
        </w:numPr>
        <w:tabs>
          <w:tab w:pos="1024" w:val="left" w:leader="none"/>
          <w:tab w:pos="1025" w:val="left" w:leader="none"/>
        </w:tabs>
        <w:spacing w:line="240" w:lineRule="auto" w:before="53" w:after="0"/>
        <w:ind w:left="1024" w:right="148" w:hanging="852"/>
        <w:jc w:val="left"/>
        <w:rPr>
          <w:sz w:val="22"/>
        </w:rPr>
      </w:pPr>
      <w:r>
        <w:rPr>
          <w:sz w:val="22"/>
        </w:rPr>
        <w:t>kotelna na sídliště bytových domů Střelecký vrch a kotelna TJ Spartak v Turpišově ulici se systémem teplovodních rozvodů pro centrum města a veřejné</w:t>
      </w:r>
      <w:r>
        <w:rPr>
          <w:spacing w:val="-10"/>
          <w:sz w:val="22"/>
        </w:rPr>
        <w:t> </w:t>
      </w:r>
      <w:r>
        <w:rPr>
          <w:sz w:val="22"/>
        </w:rPr>
        <w:t>budovy,</w:t>
      </w:r>
    </w:p>
    <w:p>
      <w:pPr>
        <w:pStyle w:val="ListParagraph"/>
        <w:numPr>
          <w:ilvl w:val="0"/>
          <w:numId w:val="2"/>
        </w:numPr>
        <w:tabs>
          <w:tab w:pos="1024" w:val="left" w:leader="none"/>
          <w:tab w:pos="1025" w:val="left" w:leader="none"/>
        </w:tabs>
        <w:spacing w:line="240" w:lineRule="auto" w:before="79" w:after="0"/>
        <w:ind w:left="1024" w:right="0" w:hanging="853"/>
        <w:jc w:val="left"/>
        <w:rPr>
          <w:sz w:val="22"/>
        </w:rPr>
      </w:pPr>
      <w:r>
        <w:rPr>
          <w:sz w:val="22"/>
        </w:rPr>
        <w:t>propojit systémy s hlavním sídlištním zdrojem CZT a záložním zdrojem v Turpišově</w:t>
      </w:r>
      <w:r>
        <w:rPr>
          <w:spacing w:val="-23"/>
          <w:sz w:val="22"/>
        </w:rPr>
        <w:t> </w:t>
      </w:r>
      <w:r>
        <w:rPr>
          <w:sz w:val="22"/>
        </w:rPr>
        <w:t>ulici,</w:t>
      </w:r>
    </w:p>
    <w:p>
      <w:pPr>
        <w:pStyle w:val="ListParagraph"/>
        <w:numPr>
          <w:ilvl w:val="0"/>
          <w:numId w:val="2"/>
        </w:numPr>
        <w:tabs>
          <w:tab w:pos="1024" w:val="left" w:leader="none"/>
          <w:tab w:pos="1025" w:val="left" w:leader="none"/>
        </w:tabs>
        <w:spacing w:line="240" w:lineRule="auto" w:before="79" w:after="0"/>
        <w:ind w:left="1024" w:right="146" w:hanging="853"/>
        <w:jc w:val="left"/>
        <w:rPr>
          <w:sz w:val="22"/>
        </w:rPr>
      </w:pPr>
      <w:r>
        <w:rPr>
          <w:sz w:val="22"/>
        </w:rPr>
        <w:t>tam, kde to bude ekonomicky výhodné, napojovat rozvojové plochy na teplovodní rozvody z dílčích systémů CZT, jejichž kapacita je</w:t>
      </w:r>
      <w:r>
        <w:rPr>
          <w:spacing w:val="-8"/>
          <w:sz w:val="22"/>
        </w:rPr>
        <w:t> </w:t>
      </w:r>
      <w:r>
        <w:rPr>
          <w:sz w:val="22"/>
        </w:rPr>
        <w:t>dostatečná.</w:t>
      </w:r>
    </w:p>
    <w:p>
      <w:pPr>
        <w:pStyle w:val="ListParagraph"/>
        <w:numPr>
          <w:ilvl w:val="0"/>
          <w:numId w:val="1"/>
        </w:numPr>
        <w:tabs>
          <w:tab w:pos="1024" w:val="left" w:leader="none"/>
          <w:tab w:pos="1025" w:val="left" w:leader="none"/>
        </w:tabs>
        <w:spacing w:line="240" w:lineRule="auto" w:before="79" w:after="0"/>
        <w:ind w:left="1025" w:right="0" w:hanging="852"/>
        <w:jc w:val="left"/>
        <w:rPr>
          <w:sz w:val="22"/>
        </w:rPr>
      </w:pPr>
      <w:r>
        <w:rPr>
          <w:sz w:val="22"/>
        </w:rPr>
        <w:t>Pro menší odběratele považovat za základní palivo pro vytápění zemní plyn, v</w:t>
      </w:r>
      <w:r>
        <w:rPr>
          <w:spacing w:val="29"/>
          <w:sz w:val="22"/>
        </w:rPr>
        <w:t> </w:t>
      </w:r>
      <w:r>
        <w:rPr>
          <w:sz w:val="22"/>
        </w:rPr>
        <w:t>okrajových</w:t>
      </w:r>
    </w:p>
    <w:p>
      <w:pPr>
        <w:pStyle w:val="BodyText"/>
        <w:spacing w:before="1"/>
        <w:ind w:left="1025" w:firstLine="0"/>
        <w:jc w:val="left"/>
      </w:pPr>
      <w:r>
        <w:rPr/>
        <w:t>částech s rozptýlenou zástavbou k vytápění využívat elektrickou energii,</w:t>
      </w:r>
    </w:p>
    <w:p>
      <w:pPr>
        <w:pStyle w:val="ListParagraph"/>
        <w:numPr>
          <w:ilvl w:val="0"/>
          <w:numId w:val="2"/>
        </w:numPr>
        <w:tabs>
          <w:tab w:pos="1024" w:val="left" w:leader="none"/>
          <w:tab w:pos="1026" w:val="left" w:leader="none"/>
        </w:tabs>
        <w:spacing w:line="240" w:lineRule="auto" w:before="79" w:after="0"/>
        <w:ind w:left="1025" w:right="148" w:hanging="852"/>
        <w:jc w:val="left"/>
        <w:rPr>
          <w:sz w:val="22"/>
        </w:rPr>
      </w:pPr>
      <w:r>
        <w:rPr>
          <w:sz w:val="22"/>
        </w:rPr>
        <w:t>postupně zejména v hůře dostupných lokalitách vytěsňovat využívání nekvalitního hnědého uhlí a zvyšovat podíl ekologického vytápění – tepelná čerpadla, biomasa,</w:t>
      </w:r>
      <w:r>
        <w:rPr>
          <w:spacing w:val="-25"/>
          <w:sz w:val="22"/>
        </w:rPr>
        <w:t> </w:t>
      </w:r>
      <w:r>
        <w:rPr>
          <w:sz w:val="22"/>
        </w:rPr>
        <w:t>…</w:t>
      </w:r>
    </w:p>
    <w:p>
      <w:pPr>
        <w:pStyle w:val="Heading3"/>
        <w:spacing w:before="114"/>
        <w:ind w:left="1022"/>
      </w:pPr>
      <w:r>
        <w:rPr/>
        <w:t>PLYNOFIKACE</w:t>
      </w:r>
    </w:p>
    <w:p>
      <w:pPr>
        <w:pStyle w:val="ListParagraph"/>
        <w:numPr>
          <w:ilvl w:val="0"/>
          <w:numId w:val="1"/>
        </w:numPr>
        <w:tabs>
          <w:tab w:pos="1024" w:val="left" w:leader="none"/>
          <w:tab w:pos="1025" w:val="left" w:leader="none"/>
        </w:tabs>
        <w:spacing w:line="242" w:lineRule="auto" w:before="81" w:after="0"/>
        <w:ind w:left="1025" w:right="145" w:hanging="852"/>
        <w:jc w:val="both"/>
        <w:rPr>
          <w:sz w:val="22"/>
        </w:rPr>
      </w:pPr>
      <w:r>
        <w:rPr>
          <w:sz w:val="22"/>
        </w:rPr>
        <w:t>Podstatnou část území města vytápět </w:t>
      </w:r>
      <w:r>
        <w:rPr>
          <w:b/>
          <w:sz w:val="22"/>
        </w:rPr>
        <w:t>zemním plynem </w:t>
      </w:r>
      <w:r>
        <w:rPr>
          <w:sz w:val="22"/>
        </w:rPr>
        <w:t>dodávaným do řešeného území   z dálkového VTL plynovodu Ústí nad Labem - Liberec procházejícího po severním a východním okraji</w:t>
      </w:r>
      <w:r>
        <w:rPr>
          <w:spacing w:val="1"/>
          <w:sz w:val="22"/>
        </w:rPr>
        <w:t> </w:t>
      </w:r>
      <w:r>
        <w:rPr>
          <w:sz w:val="22"/>
        </w:rPr>
        <w:t>města.</w:t>
      </w:r>
    </w:p>
    <w:p>
      <w:pPr>
        <w:pStyle w:val="ListParagraph"/>
        <w:numPr>
          <w:ilvl w:val="0"/>
          <w:numId w:val="1"/>
        </w:numPr>
        <w:tabs>
          <w:tab w:pos="1024" w:val="left" w:leader="none"/>
          <w:tab w:pos="1025" w:val="left" w:leader="none"/>
        </w:tabs>
        <w:spacing w:line="240" w:lineRule="auto" w:before="76" w:after="0"/>
        <w:ind w:left="1025" w:right="144" w:hanging="852"/>
        <w:jc w:val="both"/>
        <w:rPr>
          <w:sz w:val="22"/>
        </w:rPr>
      </w:pPr>
      <w:r>
        <w:rPr>
          <w:sz w:val="22"/>
        </w:rPr>
        <w:t>Pro uspokojení potřeb města Chrastava v období do roku 2030 počítat především díky realizaci navržených  zastavitelných  ploch  a  intenzifikaci  využití  stabilizovaných  ploch s </w:t>
      </w:r>
      <w:r>
        <w:rPr>
          <w:b/>
          <w:sz w:val="22"/>
        </w:rPr>
        <w:t>navýšením odběru </w:t>
      </w:r>
      <w:r>
        <w:rPr>
          <w:sz w:val="22"/>
        </w:rPr>
        <w:t>plynu o 4,3 MW,</w:t>
      </w:r>
    </w:p>
    <w:p>
      <w:pPr>
        <w:pStyle w:val="ListParagraph"/>
        <w:numPr>
          <w:ilvl w:val="0"/>
          <w:numId w:val="2"/>
        </w:numPr>
        <w:tabs>
          <w:tab w:pos="1024" w:val="left" w:leader="none"/>
          <w:tab w:pos="1025" w:val="left" w:leader="none"/>
        </w:tabs>
        <w:spacing w:line="240" w:lineRule="auto" w:before="81" w:after="0"/>
        <w:ind w:left="1024" w:right="145" w:hanging="852"/>
        <w:jc w:val="both"/>
        <w:rPr>
          <w:sz w:val="22"/>
        </w:rPr>
      </w:pPr>
      <w:r>
        <w:rPr>
          <w:sz w:val="22"/>
        </w:rPr>
        <w:t>současně počítat s poklesem odběru u stávajících odběratelů v důsledku snížení tepelných ztrát</w:t>
      </w:r>
      <w:r>
        <w:rPr>
          <w:spacing w:val="1"/>
          <w:sz w:val="22"/>
        </w:rPr>
        <w:t> </w:t>
      </w:r>
      <w:r>
        <w:rPr>
          <w:sz w:val="22"/>
        </w:rPr>
        <w:t>objektů.</w:t>
      </w:r>
    </w:p>
    <w:p>
      <w:pPr>
        <w:spacing w:after="0" w:line="240" w:lineRule="auto"/>
        <w:jc w:val="both"/>
        <w:rPr>
          <w:sz w:val="22"/>
        </w:rPr>
        <w:sectPr>
          <w:pgSz w:w="11900" w:h="16840"/>
          <w:pgMar w:header="557" w:footer="582" w:top="760" w:bottom="780" w:left="960" w:right="980"/>
        </w:sectPr>
      </w:pPr>
    </w:p>
    <w:p>
      <w:pPr>
        <w:pStyle w:val="BodyText"/>
        <w:spacing w:before="3"/>
        <w:ind w:left="0" w:firstLine="0"/>
        <w:jc w:val="left"/>
      </w:pPr>
    </w:p>
    <w:p>
      <w:pPr>
        <w:pStyle w:val="ListParagraph"/>
        <w:numPr>
          <w:ilvl w:val="0"/>
          <w:numId w:val="1"/>
        </w:numPr>
        <w:tabs>
          <w:tab w:pos="1024" w:val="left" w:leader="none"/>
          <w:tab w:pos="1025" w:val="left" w:leader="none"/>
        </w:tabs>
        <w:spacing w:line="240" w:lineRule="auto" w:before="101" w:after="0"/>
        <w:ind w:left="1024" w:right="0" w:hanging="853"/>
        <w:jc w:val="left"/>
        <w:rPr>
          <w:sz w:val="22"/>
        </w:rPr>
      </w:pPr>
      <w:r>
        <w:rPr>
          <w:sz w:val="22"/>
        </w:rPr>
        <w:t>Na plynovodní síti provést následující</w:t>
      </w:r>
      <w:r>
        <w:rPr>
          <w:spacing w:val="-6"/>
          <w:sz w:val="22"/>
        </w:rPr>
        <w:t> </w:t>
      </w:r>
      <w:r>
        <w:rPr>
          <w:sz w:val="22"/>
        </w:rPr>
        <w:t>úpravy:</w:t>
      </w:r>
    </w:p>
    <w:p>
      <w:pPr>
        <w:pStyle w:val="ListParagraph"/>
        <w:numPr>
          <w:ilvl w:val="0"/>
          <w:numId w:val="2"/>
        </w:numPr>
        <w:tabs>
          <w:tab w:pos="1024" w:val="left" w:leader="none"/>
          <w:tab w:pos="1025" w:val="left" w:leader="none"/>
        </w:tabs>
        <w:spacing w:line="240" w:lineRule="auto" w:before="81" w:after="0"/>
        <w:ind w:left="1024" w:right="147" w:hanging="853"/>
        <w:jc w:val="left"/>
        <w:rPr>
          <w:sz w:val="22"/>
        </w:rPr>
      </w:pPr>
      <w:r>
        <w:rPr>
          <w:sz w:val="22"/>
        </w:rPr>
        <w:t>rozšířit STL plynovody dle Výkresu koncepce technické infrastruktury (3) a k plochám 11.Změny č. 52, 54, 55,</w:t>
      </w:r>
      <w:r>
        <w:rPr>
          <w:spacing w:val="2"/>
          <w:sz w:val="22"/>
        </w:rPr>
        <w:t> </w:t>
      </w:r>
      <w:r>
        <w:rPr>
          <w:sz w:val="22"/>
        </w:rPr>
        <w:t>108</w:t>
      </w:r>
    </w:p>
    <w:p>
      <w:pPr>
        <w:pStyle w:val="ListParagraph"/>
        <w:numPr>
          <w:ilvl w:val="0"/>
          <w:numId w:val="2"/>
        </w:numPr>
        <w:tabs>
          <w:tab w:pos="1024" w:val="left" w:leader="none"/>
          <w:tab w:pos="1025" w:val="left" w:leader="none"/>
        </w:tabs>
        <w:spacing w:line="240" w:lineRule="auto" w:before="79" w:after="0"/>
        <w:ind w:left="1024" w:right="0" w:hanging="853"/>
        <w:jc w:val="left"/>
        <w:rPr>
          <w:sz w:val="22"/>
        </w:rPr>
      </w:pPr>
      <w:r>
        <w:rPr>
          <w:sz w:val="22"/>
        </w:rPr>
        <w:t>provádět postupný přechod z NTL na STL</w:t>
      </w:r>
      <w:r>
        <w:rPr>
          <w:spacing w:val="-9"/>
          <w:sz w:val="22"/>
        </w:rPr>
        <w:t> </w:t>
      </w:r>
      <w:r>
        <w:rPr>
          <w:sz w:val="22"/>
        </w:rPr>
        <w:t>plynovody,</w:t>
      </w:r>
    </w:p>
    <w:p>
      <w:pPr>
        <w:pStyle w:val="ListParagraph"/>
        <w:numPr>
          <w:ilvl w:val="0"/>
          <w:numId w:val="2"/>
        </w:numPr>
        <w:tabs>
          <w:tab w:pos="1024" w:val="left" w:leader="none"/>
          <w:tab w:pos="1025" w:val="left" w:leader="none"/>
        </w:tabs>
        <w:spacing w:line="240" w:lineRule="auto" w:before="79" w:after="0"/>
        <w:ind w:left="1024" w:right="146" w:hanging="852"/>
        <w:jc w:val="left"/>
        <w:rPr>
          <w:sz w:val="22"/>
        </w:rPr>
      </w:pPr>
      <w:r>
        <w:rPr>
          <w:sz w:val="22"/>
        </w:rPr>
        <w:t>umístění STL plynovodů převážně v místních komunikacích upřesňovat v podrobné dokumentaci.</w:t>
      </w:r>
    </w:p>
    <w:p>
      <w:pPr>
        <w:pStyle w:val="Heading2"/>
        <w:numPr>
          <w:ilvl w:val="2"/>
          <w:numId w:val="7"/>
        </w:numPr>
        <w:tabs>
          <w:tab w:pos="1024" w:val="left" w:leader="none"/>
          <w:tab w:pos="1025" w:val="left" w:leader="none"/>
        </w:tabs>
        <w:spacing w:line="240" w:lineRule="auto" w:before="178" w:after="0"/>
        <w:ind w:left="1024" w:right="0" w:hanging="853"/>
        <w:jc w:val="left"/>
      </w:pPr>
      <w:r>
        <w:rPr/>
        <w:t>SPOJE</w:t>
      </w:r>
    </w:p>
    <w:p>
      <w:pPr>
        <w:pStyle w:val="ListParagraph"/>
        <w:numPr>
          <w:ilvl w:val="0"/>
          <w:numId w:val="1"/>
        </w:numPr>
        <w:tabs>
          <w:tab w:pos="1024" w:val="left" w:leader="none"/>
          <w:tab w:pos="1025" w:val="left" w:leader="none"/>
        </w:tabs>
        <w:spacing w:line="240" w:lineRule="auto" w:before="120" w:after="0"/>
        <w:ind w:left="1024" w:right="147" w:hanging="852"/>
        <w:jc w:val="both"/>
        <w:rPr>
          <w:sz w:val="22"/>
        </w:rPr>
      </w:pPr>
      <w:r>
        <w:rPr>
          <w:sz w:val="22"/>
        </w:rPr>
        <w:t>Respektovat </w:t>
      </w:r>
      <w:r>
        <w:rPr>
          <w:b/>
          <w:sz w:val="22"/>
        </w:rPr>
        <w:t>radioreléové trasy </w:t>
      </w:r>
      <w:r>
        <w:rPr>
          <w:sz w:val="22"/>
        </w:rPr>
        <w:t>Českých radiokomunikací, radioreleové trasy mobilních telefonních operátorů a dálkové optické kabely (Praha - Gorlitz, Liberec - Ústí nad Labem, Liberec - Frýdlant) vedené přes řešené</w:t>
      </w:r>
      <w:r>
        <w:rPr>
          <w:spacing w:val="-7"/>
          <w:sz w:val="22"/>
        </w:rPr>
        <w:t> </w:t>
      </w:r>
      <w:r>
        <w:rPr>
          <w:sz w:val="22"/>
        </w:rPr>
        <w:t>území.</w:t>
      </w:r>
    </w:p>
    <w:p>
      <w:pPr>
        <w:pStyle w:val="ListParagraph"/>
        <w:numPr>
          <w:ilvl w:val="0"/>
          <w:numId w:val="1"/>
        </w:numPr>
        <w:tabs>
          <w:tab w:pos="1024" w:val="left" w:leader="none"/>
          <w:tab w:pos="1025" w:val="left" w:leader="none"/>
        </w:tabs>
        <w:spacing w:line="240" w:lineRule="auto" w:before="120" w:after="0"/>
        <w:ind w:left="1024" w:right="0" w:hanging="853"/>
        <w:jc w:val="both"/>
        <w:rPr>
          <w:sz w:val="22"/>
        </w:rPr>
      </w:pPr>
      <w:r>
        <w:rPr>
          <w:sz w:val="22"/>
        </w:rPr>
        <w:t>Průběžně zvyšovat kapacitu </w:t>
      </w:r>
      <w:r>
        <w:rPr>
          <w:b/>
          <w:sz w:val="22"/>
        </w:rPr>
        <w:t>sdělovacích sítí </w:t>
      </w:r>
      <w:r>
        <w:rPr>
          <w:sz w:val="22"/>
        </w:rPr>
        <w:t>- kabelových rozvodů, </w:t>
      </w:r>
      <w:r>
        <w:rPr>
          <w:spacing w:val="-5"/>
          <w:sz w:val="22"/>
        </w:rPr>
        <w:t>MW </w:t>
      </w:r>
      <w:r>
        <w:rPr>
          <w:sz w:val="22"/>
        </w:rPr>
        <w:t>spojů, RR</w:t>
      </w:r>
      <w:r>
        <w:rPr>
          <w:spacing w:val="-12"/>
          <w:sz w:val="22"/>
        </w:rPr>
        <w:t> </w:t>
      </w:r>
      <w:r>
        <w:rPr>
          <w:sz w:val="22"/>
        </w:rPr>
        <w:t>tras.</w:t>
      </w:r>
    </w:p>
    <w:p>
      <w:pPr>
        <w:pStyle w:val="ListParagraph"/>
        <w:numPr>
          <w:ilvl w:val="0"/>
          <w:numId w:val="1"/>
        </w:numPr>
        <w:tabs>
          <w:tab w:pos="1024" w:val="left" w:leader="none"/>
          <w:tab w:pos="1025" w:val="left" w:leader="none"/>
        </w:tabs>
        <w:spacing w:line="244" w:lineRule="auto" w:before="119" w:after="0"/>
        <w:ind w:left="1024" w:right="148" w:hanging="852"/>
        <w:jc w:val="both"/>
        <w:rPr>
          <w:sz w:val="22"/>
        </w:rPr>
      </w:pPr>
      <w:r>
        <w:rPr>
          <w:sz w:val="22"/>
        </w:rPr>
        <w:t>Požadavky  na  připojení  nových  </w:t>
      </w:r>
      <w:r>
        <w:rPr>
          <w:b/>
          <w:sz w:val="22"/>
        </w:rPr>
        <w:t>koncových  účastníků  </w:t>
      </w:r>
      <w:r>
        <w:rPr>
          <w:sz w:val="22"/>
        </w:rPr>
        <w:t>řešit  rozšiřováním  rozvodů    a modernizací stávajících zařízení pro navýšení počtu koncových</w:t>
      </w:r>
      <w:r>
        <w:rPr>
          <w:spacing w:val="-17"/>
          <w:sz w:val="22"/>
        </w:rPr>
        <w:t> </w:t>
      </w:r>
      <w:r>
        <w:rPr>
          <w:sz w:val="22"/>
        </w:rPr>
        <w:t>účastníků.</w:t>
      </w:r>
    </w:p>
    <w:p>
      <w:pPr>
        <w:pStyle w:val="Heading2"/>
        <w:numPr>
          <w:ilvl w:val="2"/>
          <w:numId w:val="7"/>
        </w:numPr>
        <w:tabs>
          <w:tab w:pos="1026" w:val="left" w:leader="none"/>
        </w:tabs>
        <w:spacing w:line="240" w:lineRule="auto" w:before="171" w:after="0"/>
        <w:ind w:left="1025" w:right="0" w:hanging="853"/>
        <w:jc w:val="both"/>
      </w:pPr>
      <w:r>
        <w:rPr/>
        <w:t>NAKLÁDÁNÍ S ODPADY</w:t>
      </w:r>
    </w:p>
    <w:p>
      <w:pPr>
        <w:pStyle w:val="ListParagraph"/>
        <w:numPr>
          <w:ilvl w:val="0"/>
          <w:numId w:val="1"/>
        </w:numPr>
        <w:tabs>
          <w:tab w:pos="1024" w:val="left" w:leader="none"/>
          <w:tab w:pos="1026" w:val="left" w:leader="none"/>
        </w:tabs>
        <w:spacing w:line="251" w:lineRule="exact" w:before="123" w:after="0"/>
        <w:ind w:left="1025" w:right="0" w:hanging="853"/>
        <w:jc w:val="both"/>
        <w:rPr>
          <w:sz w:val="22"/>
        </w:rPr>
      </w:pPr>
      <w:r>
        <w:rPr>
          <w:sz w:val="22"/>
        </w:rPr>
        <w:t>U</w:t>
      </w:r>
      <w:r>
        <w:rPr>
          <w:spacing w:val="7"/>
          <w:sz w:val="22"/>
        </w:rPr>
        <w:t> </w:t>
      </w:r>
      <w:r>
        <w:rPr>
          <w:sz w:val="22"/>
        </w:rPr>
        <w:t>veškerých</w:t>
      </w:r>
      <w:r>
        <w:rPr>
          <w:spacing w:val="9"/>
          <w:sz w:val="22"/>
        </w:rPr>
        <w:t> </w:t>
      </w:r>
      <w:r>
        <w:rPr>
          <w:sz w:val="22"/>
        </w:rPr>
        <w:t>zachovávaných</w:t>
      </w:r>
      <w:r>
        <w:rPr>
          <w:spacing w:val="8"/>
          <w:sz w:val="22"/>
        </w:rPr>
        <w:t> </w:t>
      </w:r>
      <w:r>
        <w:rPr>
          <w:sz w:val="22"/>
        </w:rPr>
        <w:t>i</w:t>
      </w:r>
      <w:r>
        <w:rPr>
          <w:spacing w:val="11"/>
          <w:sz w:val="22"/>
        </w:rPr>
        <w:t> </w:t>
      </w:r>
      <w:r>
        <w:rPr>
          <w:sz w:val="22"/>
        </w:rPr>
        <w:t>nově</w:t>
      </w:r>
      <w:r>
        <w:rPr>
          <w:spacing w:val="8"/>
          <w:sz w:val="22"/>
        </w:rPr>
        <w:t> </w:t>
      </w:r>
      <w:r>
        <w:rPr>
          <w:sz w:val="22"/>
        </w:rPr>
        <w:t>navržených</w:t>
      </w:r>
      <w:r>
        <w:rPr>
          <w:spacing w:val="11"/>
          <w:sz w:val="22"/>
        </w:rPr>
        <w:t> </w:t>
      </w:r>
      <w:r>
        <w:rPr>
          <w:sz w:val="22"/>
        </w:rPr>
        <w:t>aktivit</w:t>
      </w:r>
      <w:r>
        <w:rPr>
          <w:spacing w:val="10"/>
          <w:sz w:val="22"/>
        </w:rPr>
        <w:t> </w:t>
      </w:r>
      <w:r>
        <w:rPr>
          <w:sz w:val="22"/>
        </w:rPr>
        <w:t>na</w:t>
      </w:r>
      <w:r>
        <w:rPr>
          <w:spacing w:val="8"/>
          <w:sz w:val="22"/>
        </w:rPr>
        <w:t> </w:t>
      </w:r>
      <w:r>
        <w:rPr>
          <w:sz w:val="22"/>
        </w:rPr>
        <w:t>území</w:t>
      </w:r>
      <w:r>
        <w:rPr>
          <w:spacing w:val="6"/>
          <w:sz w:val="22"/>
        </w:rPr>
        <w:t> </w:t>
      </w:r>
      <w:r>
        <w:rPr>
          <w:sz w:val="22"/>
        </w:rPr>
        <w:t>města</w:t>
      </w:r>
      <w:r>
        <w:rPr>
          <w:spacing w:val="9"/>
          <w:sz w:val="22"/>
        </w:rPr>
        <w:t> </w:t>
      </w:r>
      <w:r>
        <w:rPr>
          <w:sz w:val="22"/>
        </w:rPr>
        <w:t>Chrastava</w:t>
      </w:r>
      <w:r>
        <w:rPr>
          <w:spacing w:val="8"/>
          <w:sz w:val="22"/>
        </w:rPr>
        <w:t> </w:t>
      </w:r>
      <w:r>
        <w:rPr>
          <w:sz w:val="22"/>
        </w:rPr>
        <w:t>upravit</w:t>
      </w:r>
    </w:p>
    <w:p>
      <w:pPr>
        <w:spacing w:line="251" w:lineRule="exact" w:before="0"/>
        <w:ind w:left="1025" w:right="0" w:firstLine="0"/>
        <w:jc w:val="both"/>
        <w:rPr>
          <w:sz w:val="22"/>
        </w:rPr>
      </w:pPr>
      <w:r>
        <w:rPr>
          <w:b/>
          <w:sz w:val="22"/>
        </w:rPr>
        <w:t>nakládání s odpady </w:t>
      </w:r>
      <w:r>
        <w:rPr>
          <w:sz w:val="22"/>
        </w:rPr>
        <w:t>podle:</w:t>
      </w:r>
    </w:p>
    <w:p>
      <w:pPr>
        <w:pStyle w:val="ListParagraph"/>
        <w:numPr>
          <w:ilvl w:val="0"/>
          <w:numId w:val="2"/>
        </w:numPr>
        <w:tabs>
          <w:tab w:pos="1024" w:val="left" w:leader="none"/>
          <w:tab w:pos="1026" w:val="left" w:leader="none"/>
        </w:tabs>
        <w:spacing w:line="240" w:lineRule="auto" w:before="80" w:after="0"/>
        <w:ind w:left="1025" w:right="147" w:hanging="852"/>
        <w:jc w:val="both"/>
        <w:rPr>
          <w:sz w:val="22"/>
        </w:rPr>
      </w:pPr>
      <w:r>
        <w:rPr>
          <w:sz w:val="22"/>
        </w:rPr>
        <w:t>zák. č. 185/2001 Sb. o odpadech a změn některých souvisejících zákonů, v platném znění,</w:t>
      </w:r>
    </w:p>
    <w:p>
      <w:pPr>
        <w:pStyle w:val="ListParagraph"/>
        <w:numPr>
          <w:ilvl w:val="0"/>
          <w:numId w:val="2"/>
        </w:numPr>
        <w:tabs>
          <w:tab w:pos="1024" w:val="left" w:leader="none"/>
          <w:tab w:pos="1026" w:val="left" w:leader="none"/>
        </w:tabs>
        <w:spacing w:line="240" w:lineRule="auto" w:before="81" w:after="0"/>
        <w:ind w:left="1025" w:right="0" w:hanging="853"/>
        <w:jc w:val="both"/>
        <w:rPr>
          <w:sz w:val="22"/>
        </w:rPr>
      </w:pPr>
      <w:r>
        <w:rPr>
          <w:sz w:val="22"/>
        </w:rPr>
        <w:t>Plánu odpadového hospodářství</w:t>
      </w:r>
      <w:r>
        <w:rPr>
          <w:spacing w:val="-4"/>
          <w:sz w:val="22"/>
        </w:rPr>
        <w:t> </w:t>
      </w:r>
      <w:r>
        <w:rPr>
          <w:sz w:val="22"/>
        </w:rPr>
        <w:t>LK,</w:t>
      </w:r>
    </w:p>
    <w:p>
      <w:pPr>
        <w:pStyle w:val="ListParagraph"/>
        <w:numPr>
          <w:ilvl w:val="0"/>
          <w:numId w:val="2"/>
        </w:numPr>
        <w:tabs>
          <w:tab w:pos="1024" w:val="left" w:leader="none"/>
          <w:tab w:pos="1026" w:val="left" w:leader="none"/>
        </w:tabs>
        <w:spacing w:line="240" w:lineRule="auto" w:before="78" w:after="0"/>
        <w:ind w:left="1025" w:right="145" w:hanging="852"/>
        <w:jc w:val="both"/>
        <w:rPr>
          <w:sz w:val="22"/>
        </w:rPr>
      </w:pPr>
      <w:r>
        <w:rPr>
          <w:sz w:val="22"/>
        </w:rPr>
        <w:t>Obecně závazné vyhlášky města Chrastava č. 11/2006 v platném znění o stanovení systému shromažďování, sběru, přepravy, třídění, využívání a odstraňování komunálních odpadů a nakládání se stavebním odpadem na území města</w:t>
      </w:r>
      <w:r>
        <w:rPr>
          <w:spacing w:val="-12"/>
          <w:sz w:val="22"/>
        </w:rPr>
        <w:t> </w:t>
      </w:r>
      <w:r>
        <w:rPr>
          <w:sz w:val="22"/>
        </w:rPr>
        <w:t>Chrastava.</w:t>
      </w:r>
    </w:p>
    <w:p>
      <w:pPr>
        <w:pStyle w:val="ListParagraph"/>
        <w:numPr>
          <w:ilvl w:val="0"/>
          <w:numId w:val="1"/>
        </w:numPr>
        <w:tabs>
          <w:tab w:pos="1024" w:val="left" w:leader="none"/>
          <w:tab w:pos="1026" w:val="left" w:leader="none"/>
        </w:tabs>
        <w:spacing w:line="240" w:lineRule="auto" w:before="118" w:after="0"/>
        <w:ind w:left="1025" w:right="151" w:hanging="852"/>
        <w:jc w:val="both"/>
        <w:rPr>
          <w:sz w:val="22"/>
        </w:rPr>
      </w:pPr>
      <w:r>
        <w:rPr>
          <w:sz w:val="22"/>
        </w:rPr>
        <w:t>Pro umístění individuálních </w:t>
      </w:r>
      <w:r>
        <w:rPr>
          <w:b/>
          <w:sz w:val="22"/>
        </w:rPr>
        <w:t>nádob na sběr odpadu </w:t>
      </w:r>
      <w:r>
        <w:rPr>
          <w:sz w:val="22"/>
        </w:rPr>
        <w:t>vymezit části příslušných ploch s rozdílným způsobem využití, pro které slouží,</w:t>
      </w:r>
    </w:p>
    <w:p>
      <w:pPr>
        <w:pStyle w:val="ListParagraph"/>
        <w:numPr>
          <w:ilvl w:val="0"/>
          <w:numId w:val="2"/>
        </w:numPr>
        <w:tabs>
          <w:tab w:pos="1025" w:val="left" w:leader="none"/>
          <w:tab w:pos="1026" w:val="left" w:leader="none"/>
        </w:tabs>
        <w:spacing w:line="240" w:lineRule="auto" w:before="82" w:after="0"/>
        <w:ind w:left="1025" w:right="147" w:hanging="853"/>
        <w:jc w:val="both"/>
        <w:rPr>
          <w:sz w:val="22"/>
        </w:rPr>
      </w:pPr>
      <w:r>
        <w:rPr>
          <w:sz w:val="22"/>
        </w:rPr>
        <w:t>síť 18 stanovišť sběrných míst s kontejnery na tříděný odpad, zvlášť na papír, plasty, sklo, PET láhve nadále zahušťovat na plochách veřejných prostranství</w:t>
      </w:r>
      <w:r>
        <w:rPr>
          <w:spacing w:val="-6"/>
          <w:sz w:val="22"/>
        </w:rPr>
        <w:t> </w:t>
      </w:r>
      <w:r>
        <w:rPr>
          <w:sz w:val="22"/>
        </w:rPr>
        <w:t>(P).</w:t>
      </w:r>
    </w:p>
    <w:p>
      <w:pPr>
        <w:pStyle w:val="ListParagraph"/>
        <w:numPr>
          <w:ilvl w:val="0"/>
          <w:numId w:val="1"/>
        </w:numPr>
        <w:tabs>
          <w:tab w:pos="1025" w:val="left" w:leader="none"/>
          <w:tab w:pos="1026" w:val="left" w:leader="none"/>
        </w:tabs>
        <w:spacing w:line="240" w:lineRule="auto" w:before="117" w:after="0"/>
        <w:ind w:left="1025" w:right="148" w:hanging="853"/>
        <w:jc w:val="both"/>
        <w:rPr>
          <w:sz w:val="22"/>
        </w:rPr>
      </w:pPr>
      <w:r>
        <w:rPr>
          <w:b/>
          <w:sz w:val="22"/>
        </w:rPr>
        <w:t>Zařízení na sběr odpadu </w:t>
      </w:r>
      <w:r>
        <w:rPr>
          <w:sz w:val="22"/>
        </w:rPr>
        <w:t>(sběrné suroviny, sběrný dvůr) umístit na plochách výroby a skladování</w:t>
      </w:r>
      <w:r>
        <w:rPr>
          <w:spacing w:val="-4"/>
          <w:sz w:val="22"/>
        </w:rPr>
        <w:t> </w:t>
      </w:r>
      <w:r>
        <w:rPr>
          <w:sz w:val="22"/>
        </w:rPr>
        <w:t>(E),</w:t>
      </w:r>
    </w:p>
    <w:p>
      <w:pPr>
        <w:pStyle w:val="ListParagraph"/>
        <w:numPr>
          <w:ilvl w:val="0"/>
          <w:numId w:val="2"/>
        </w:numPr>
        <w:tabs>
          <w:tab w:pos="1025" w:val="left" w:leader="none"/>
          <w:tab w:pos="1026" w:val="left" w:leader="none"/>
        </w:tabs>
        <w:spacing w:line="240" w:lineRule="auto" w:before="82" w:after="0"/>
        <w:ind w:left="1025" w:right="146" w:hanging="853"/>
        <w:jc w:val="both"/>
        <w:rPr>
          <w:sz w:val="22"/>
        </w:rPr>
      </w:pPr>
      <w:r>
        <w:rPr>
          <w:sz w:val="22"/>
        </w:rPr>
        <w:t>nezřizovat na území obce skládky odpadů ani zařízení na zneškodňování nebezpečných odpadů, staré skládky rekultivovat a</w:t>
      </w:r>
      <w:r>
        <w:rPr>
          <w:spacing w:val="-4"/>
          <w:sz w:val="22"/>
        </w:rPr>
        <w:t> </w:t>
      </w:r>
      <w:r>
        <w:rPr>
          <w:sz w:val="22"/>
        </w:rPr>
        <w:t>monitorovat,</w:t>
      </w:r>
    </w:p>
    <w:p>
      <w:pPr>
        <w:pStyle w:val="ListParagraph"/>
        <w:numPr>
          <w:ilvl w:val="0"/>
          <w:numId w:val="2"/>
        </w:numPr>
        <w:tabs>
          <w:tab w:pos="1025" w:val="left" w:leader="none"/>
          <w:tab w:pos="1026" w:val="left" w:leader="none"/>
        </w:tabs>
        <w:spacing w:line="240" w:lineRule="auto" w:before="79" w:after="0"/>
        <w:ind w:left="1025" w:right="0" w:hanging="853"/>
        <w:jc w:val="both"/>
        <w:rPr>
          <w:sz w:val="22"/>
        </w:rPr>
      </w:pPr>
      <w:r>
        <w:rPr/>
        <w:pict>
          <v:shape style="position:absolute;margin-left:55.199997pt;margin-top:22.667364pt;width:484.7pt;height:15pt;mso-position-horizontal-relative:page;mso-position-vertical-relative:paragraph;z-index:-15720960;mso-wrap-distance-left:0;mso-wrap-distance-right:0" type="#_x0000_t202" filled="true" fillcolor="#ccffff" stroked="false">
            <v:textbox inset="0,0,0,0">
              <w:txbxContent>
                <w:p>
                  <w:pPr>
                    <w:tabs>
                      <w:tab w:pos="880" w:val="left" w:leader="none"/>
                    </w:tabs>
                    <w:spacing w:line="295" w:lineRule="exact" w:before="0"/>
                    <w:ind w:left="28" w:right="0" w:firstLine="0"/>
                    <w:jc w:val="left"/>
                    <w:rPr>
                      <w:b/>
                      <w:sz w:val="26"/>
                    </w:rPr>
                  </w:pPr>
                  <w:r>
                    <w:rPr>
                      <w:b/>
                      <w:sz w:val="26"/>
                    </w:rPr>
                    <w:t>D.3</w:t>
                    <w:tab/>
                    <w:t>OBČANSKÉ</w:t>
                  </w:r>
                  <w:r>
                    <w:rPr>
                      <w:b/>
                      <w:spacing w:val="-2"/>
                      <w:sz w:val="26"/>
                    </w:rPr>
                    <w:t> </w:t>
                  </w:r>
                  <w:r>
                    <w:rPr>
                      <w:b/>
                      <w:sz w:val="26"/>
                    </w:rPr>
                    <w:t>VYBAVENÍ</w:t>
                  </w:r>
                </w:p>
              </w:txbxContent>
            </v:textbox>
            <v:fill type="solid"/>
            <w10:wrap type="topAndBottom"/>
          </v:shape>
        </w:pict>
      </w:r>
      <w:r>
        <w:rPr>
          <w:sz w:val="22"/>
        </w:rPr>
        <w:t>rekultivovat skládku v Andělské</w:t>
      </w:r>
      <w:r>
        <w:rPr>
          <w:spacing w:val="-5"/>
          <w:sz w:val="22"/>
        </w:rPr>
        <w:t> </w:t>
      </w:r>
      <w:r>
        <w:rPr>
          <w:sz w:val="22"/>
        </w:rPr>
        <w:t>Hoře.</w:t>
      </w:r>
    </w:p>
    <w:p>
      <w:pPr>
        <w:pStyle w:val="Heading2"/>
        <w:numPr>
          <w:ilvl w:val="2"/>
          <w:numId w:val="8"/>
        </w:numPr>
        <w:tabs>
          <w:tab w:pos="1024" w:val="left" w:leader="none"/>
          <w:tab w:pos="1025" w:val="left" w:leader="none"/>
        </w:tabs>
        <w:spacing w:line="240" w:lineRule="auto" w:before="161" w:after="0"/>
        <w:ind w:left="1024" w:right="0" w:hanging="853"/>
        <w:jc w:val="left"/>
      </w:pPr>
      <w:r>
        <w:rPr/>
        <w:t>ŠKOLSTVÍ</w:t>
      </w:r>
    </w:p>
    <w:p>
      <w:pPr>
        <w:pStyle w:val="Heading3"/>
        <w:spacing w:before="118"/>
        <w:ind w:left="1022"/>
      </w:pPr>
      <w:r>
        <w:rPr/>
        <w:t>MATEŘSKÉ ŠKOLKY</w:t>
      </w:r>
    </w:p>
    <w:p>
      <w:pPr>
        <w:pStyle w:val="ListParagraph"/>
        <w:numPr>
          <w:ilvl w:val="0"/>
          <w:numId w:val="1"/>
        </w:numPr>
        <w:tabs>
          <w:tab w:pos="1024" w:val="left" w:leader="none"/>
          <w:tab w:pos="1025" w:val="left" w:leader="none"/>
        </w:tabs>
        <w:spacing w:line="240" w:lineRule="auto" w:before="121" w:after="0"/>
        <w:ind w:left="1024" w:right="0" w:hanging="853"/>
        <w:jc w:val="left"/>
        <w:rPr>
          <w:sz w:val="22"/>
        </w:rPr>
      </w:pPr>
      <w:r>
        <w:rPr>
          <w:sz w:val="22"/>
        </w:rPr>
        <w:t>Stabilizovat potenciál předškolních zařízení s </w:t>
      </w:r>
      <w:r>
        <w:rPr>
          <w:b/>
          <w:sz w:val="22"/>
        </w:rPr>
        <w:t>dostatečnou</w:t>
      </w:r>
      <w:r>
        <w:rPr>
          <w:b/>
          <w:spacing w:val="-7"/>
          <w:sz w:val="22"/>
        </w:rPr>
        <w:t> </w:t>
      </w:r>
      <w:r>
        <w:rPr>
          <w:b/>
          <w:sz w:val="22"/>
        </w:rPr>
        <w:t>kapacitou</w:t>
      </w:r>
      <w:r>
        <w:rPr>
          <w:sz w:val="22"/>
        </w:rPr>
        <w:t>,</w:t>
      </w:r>
    </w:p>
    <w:p>
      <w:pPr>
        <w:pStyle w:val="ListParagraph"/>
        <w:numPr>
          <w:ilvl w:val="0"/>
          <w:numId w:val="2"/>
        </w:numPr>
        <w:tabs>
          <w:tab w:pos="1024" w:val="left" w:leader="none"/>
          <w:tab w:pos="1025" w:val="left" w:leader="none"/>
        </w:tabs>
        <w:spacing w:line="240" w:lineRule="auto" w:before="81" w:after="0"/>
        <w:ind w:left="1024" w:right="145" w:hanging="853"/>
        <w:jc w:val="left"/>
        <w:rPr>
          <w:sz w:val="22"/>
        </w:rPr>
      </w:pPr>
      <w:r>
        <w:rPr>
          <w:sz w:val="22"/>
        </w:rPr>
        <w:t>v případě reorganizace nebo zrušení mateřské školy objekt zachovat pro zařízení veřejného občanského</w:t>
      </w:r>
      <w:r>
        <w:rPr>
          <w:spacing w:val="-3"/>
          <w:sz w:val="22"/>
        </w:rPr>
        <w:t> </w:t>
      </w:r>
      <w:r>
        <w:rPr>
          <w:sz w:val="22"/>
        </w:rPr>
        <w:t>vybavení,</w:t>
      </w:r>
    </w:p>
    <w:p>
      <w:pPr>
        <w:pStyle w:val="ListParagraph"/>
        <w:numPr>
          <w:ilvl w:val="0"/>
          <w:numId w:val="2"/>
        </w:numPr>
        <w:tabs>
          <w:tab w:pos="1024" w:val="left" w:leader="none"/>
          <w:tab w:pos="1025" w:val="left" w:leader="none"/>
        </w:tabs>
        <w:spacing w:line="240" w:lineRule="auto" w:before="78" w:after="0"/>
        <w:ind w:left="1024" w:right="144" w:hanging="853"/>
        <w:jc w:val="left"/>
        <w:rPr>
          <w:sz w:val="22"/>
        </w:rPr>
      </w:pPr>
      <w:r>
        <w:rPr>
          <w:sz w:val="22"/>
        </w:rPr>
        <w:t>další předškolní zařízení – závodní, soukromé MŠ, mikrojesle,.. zřizovat různými subjekty na plochách bydlení (B) a plochách smíšených centrálních</w:t>
      </w:r>
      <w:r>
        <w:rPr>
          <w:spacing w:val="-5"/>
          <w:sz w:val="22"/>
        </w:rPr>
        <w:t> </w:t>
      </w:r>
      <w:r>
        <w:rPr>
          <w:sz w:val="22"/>
        </w:rPr>
        <w:t>(C).</w:t>
      </w:r>
    </w:p>
    <w:p>
      <w:pPr>
        <w:pStyle w:val="Heading3"/>
        <w:spacing w:before="115"/>
        <w:ind w:left="1022"/>
      </w:pPr>
      <w:r>
        <w:rPr/>
        <w:t>ZÁKLADNÍ ŠKOLY</w:t>
      </w:r>
    </w:p>
    <w:p>
      <w:pPr>
        <w:pStyle w:val="ListParagraph"/>
        <w:numPr>
          <w:ilvl w:val="0"/>
          <w:numId w:val="1"/>
        </w:numPr>
        <w:tabs>
          <w:tab w:pos="1024" w:val="left" w:leader="none"/>
          <w:tab w:pos="1025" w:val="left" w:leader="none"/>
        </w:tabs>
        <w:spacing w:line="244" w:lineRule="auto" w:before="121" w:after="0"/>
        <w:ind w:left="1024" w:right="146" w:hanging="853"/>
        <w:jc w:val="left"/>
        <w:rPr>
          <w:sz w:val="22"/>
        </w:rPr>
      </w:pPr>
      <w:r>
        <w:rPr>
          <w:sz w:val="22"/>
        </w:rPr>
        <w:t>V řešeném území vytvořit územní podmínky pro provoz </w:t>
      </w:r>
      <w:r>
        <w:rPr>
          <w:b/>
          <w:sz w:val="22"/>
        </w:rPr>
        <w:t>dvou úplných ZŠ </w:t>
      </w:r>
      <w:r>
        <w:rPr>
          <w:sz w:val="22"/>
        </w:rPr>
        <w:t>a jedné praktické (zvláštní) školy sloužící jako spádové školy pro další</w:t>
      </w:r>
      <w:r>
        <w:rPr>
          <w:spacing w:val="-16"/>
          <w:sz w:val="22"/>
        </w:rPr>
        <w:t> </w:t>
      </w:r>
      <w:r>
        <w:rPr>
          <w:sz w:val="22"/>
        </w:rPr>
        <w:t>obce,</w:t>
      </w:r>
    </w:p>
    <w:p>
      <w:pPr>
        <w:pStyle w:val="ListParagraph"/>
        <w:numPr>
          <w:ilvl w:val="0"/>
          <w:numId w:val="2"/>
        </w:numPr>
        <w:tabs>
          <w:tab w:pos="1024" w:val="left" w:leader="none"/>
          <w:tab w:pos="1025" w:val="left" w:leader="none"/>
        </w:tabs>
        <w:spacing w:line="240" w:lineRule="auto" w:before="72" w:after="0"/>
        <w:ind w:left="1024" w:right="0" w:hanging="853"/>
        <w:jc w:val="left"/>
        <w:rPr>
          <w:sz w:val="22"/>
        </w:rPr>
      </w:pPr>
      <w:r>
        <w:rPr>
          <w:sz w:val="22"/>
        </w:rPr>
        <w:t>potenciální potřeby rozšíření kapacit praktické školy řešit v budově bývalého</w:t>
      </w:r>
      <w:r>
        <w:rPr>
          <w:spacing w:val="-22"/>
          <w:sz w:val="22"/>
        </w:rPr>
        <w:t> </w:t>
      </w:r>
      <w:r>
        <w:rPr>
          <w:sz w:val="22"/>
        </w:rPr>
        <w:t>soudu,</w:t>
      </w:r>
    </w:p>
    <w:p>
      <w:pPr>
        <w:pStyle w:val="ListParagraph"/>
        <w:numPr>
          <w:ilvl w:val="0"/>
          <w:numId w:val="2"/>
        </w:numPr>
        <w:tabs>
          <w:tab w:pos="1024" w:val="left" w:leader="none"/>
          <w:tab w:pos="1025" w:val="left" w:leader="none"/>
        </w:tabs>
        <w:spacing w:line="240" w:lineRule="auto" w:before="80" w:after="0"/>
        <w:ind w:left="1024" w:right="0" w:hanging="853"/>
        <w:jc w:val="left"/>
        <w:rPr>
          <w:sz w:val="22"/>
        </w:rPr>
      </w:pPr>
      <w:r>
        <w:rPr>
          <w:sz w:val="22"/>
        </w:rPr>
        <w:t>školní družinu provozovat v budovách ZŠ nebo v prostorách objektu nové</w:t>
      </w:r>
      <w:r>
        <w:rPr>
          <w:spacing w:val="-21"/>
          <w:sz w:val="22"/>
        </w:rPr>
        <w:t> </w:t>
      </w:r>
      <w:r>
        <w:rPr>
          <w:sz w:val="22"/>
        </w:rPr>
        <w:t>jídelny.</w:t>
      </w:r>
    </w:p>
    <w:p>
      <w:pPr>
        <w:spacing w:after="0" w:line="240" w:lineRule="auto"/>
        <w:jc w:val="left"/>
        <w:rPr>
          <w:sz w:val="22"/>
        </w:rPr>
        <w:sectPr>
          <w:pgSz w:w="11900" w:h="16840"/>
          <w:pgMar w:header="557" w:footer="582" w:top="760" w:bottom="780" w:left="960" w:right="980"/>
        </w:sectPr>
      </w:pPr>
    </w:p>
    <w:p>
      <w:pPr>
        <w:pStyle w:val="BodyText"/>
        <w:spacing w:before="1"/>
        <w:ind w:left="0" w:firstLine="0"/>
        <w:jc w:val="left"/>
      </w:pPr>
    </w:p>
    <w:p>
      <w:pPr>
        <w:pStyle w:val="ListParagraph"/>
        <w:numPr>
          <w:ilvl w:val="0"/>
          <w:numId w:val="1"/>
        </w:numPr>
        <w:tabs>
          <w:tab w:pos="1024" w:val="left" w:leader="none"/>
          <w:tab w:pos="1025" w:val="left" w:leader="none"/>
        </w:tabs>
        <w:spacing w:line="244" w:lineRule="auto" w:before="101" w:after="0"/>
        <w:ind w:left="1024" w:right="145" w:hanging="852"/>
        <w:jc w:val="both"/>
        <w:rPr>
          <w:sz w:val="22"/>
        </w:rPr>
      </w:pPr>
      <w:r>
        <w:rPr>
          <w:sz w:val="22"/>
        </w:rPr>
        <w:t>Pro potřeby neočekávaného rozvoje </w:t>
      </w:r>
      <w:r>
        <w:rPr>
          <w:b/>
          <w:sz w:val="22"/>
        </w:rPr>
        <w:t>středního, speciálního </w:t>
      </w:r>
      <w:r>
        <w:rPr>
          <w:sz w:val="22"/>
        </w:rPr>
        <w:t>nebo soukromého školství využít plochy územních rezerv R11.O a R12.O ve Školní</w:t>
      </w:r>
      <w:r>
        <w:rPr>
          <w:spacing w:val="-5"/>
          <w:sz w:val="22"/>
        </w:rPr>
        <w:t> </w:t>
      </w:r>
      <w:r>
        <w:rPr>
          <w:sz w:val="22"/>
        </w:rPr>
        <w:t>ulici.</w:t>
      </w:r>
    </w:p>
    <w:p>
      <w:pPr>
        <w:pStyle w:val="Heading2"/>
        <w:numPr>
          <w:ilvl w:val="2"/>
          <w:numId w:val="8"/>
        </w:numPr>
        <w:tabs>
          <w:tab w:pos="1024" w:val="left" w:leader="none"/>
          <w:tab w:pos="1025" w:val="left" w:leader="none"/>
        </w:tabs>
        <w:spacing w:line="240" w:lineRule="auto" w:before="171" w:after="0"/>
        <w:ind w:left="1024" w:right="0" w:hanging="853"/>
        <w:jc w:val="left"/>
      </w:pPr>
      <w:r>
        <w:rPr/>
        <w:t>ZDRAVOTNICTVÍ</w:t>
      </w:r>
    </w:p>
    <w:p>
      <w:pPr>
        <w:pStyle w:val="ListParagraph"/>
        <w:numPr>
          <w:ilvl w:val="0"/>
          <w:numId w:val="1"/>
        </w:numPr>
        <w:tabs>
          <w:tab w:pos="1024" w:val="left" w:leader="none"/>
          <w:tab w:pos="1025" w:val="left" w:leader="none"/>
        </w:tabs>
        <w:spacing w:line="240" w:lineRule="auto" w:before="120" w:after="0"/>
        <w:ind w:left="1024" w:right="147" w:hanging="852"/>
        <w:jc w:val="both"/>
        <w:rPr>
          <w:sz w:val="22"/>
        </w:rPr>
      </w:pPr>
      <w:r>
        <w:rPr>
          <w:sz w:val="22"/>
        </w:rPr>
        <w:t>Zdravotnická zařízení </w:t>
      </w:r>
      <w:r>
        <w:rPr>
          <w:b/>
          <w:sz w:val="22"/>
        </w:rPr>
        <w:t>nadmístního významu</w:t>
      </w:r>
      <w:r>
        <w:rPr>
          <w:sz w:val="22"/>
        </w:rPr>
        <w:t>, záchrannou lékařskou službu a pohotovost, nemocniční péči, speciální ambulantní péči řešit ve spolupráci s městem Liberec.</w:t>
      </w:r>
    </w:p>
    <w:p>
      <w:pPr>
        <w:pStyle w:val="ListParagraph"/>
        <w:numPr>
          <w:ilvl w:val="0"/>
          <w:numId w:val="1"/>
        </w:numPr>
        <w:tabs>
          <w:tab w:pos="1024" w:val="left" w:leader="none"/>
          <w:tab w:pos="1025" w:val="left" w:leader="none"/>
        </w:tabs>
        <w:spacing w:line="244" w:lineRule="auto" w:before="120" w:after="0"/>
        <w:ind w:left="1024" w:right="145" w:hanging="852"/>
        <w:jc w:val="both"/>
        <w:rPr>
          <w:sz w:val="22"/>
        </w:rPr>
      </w:pPr>
      <w:r>
        <w:rPr>
          <w:sz w:val="22"/>
        </w:rPr>
        <w:t>Územně stabilizovat především </w:t>
      </w:r>
      <w:r>
        <w:rPr>
          <w:b/>
          <w:sz w:val="22"/>
        </w:rPr>
        <w:t>Zdravotní středisko </w:t>
      </w:r>
      <w:r>
        <w:rPr>
          <w:sz w:val="22"/>
        </w:rPr>
        <w:t>v Polní ulici poskytující základní lékařskou péči obyvatelům města a také okolních spádových obcí vč.</w:t>
      </w:r>
      <w:r>
        <w:rPr>
          <w:spacing w:val="-18"/>
          <w:sz w:val="22"/>
        </w:rPr>
        <w:t> </w:t>
      </w:r>
      <w:r>
        <w:rPr>
          <w:sz w:val="22"/>
        </w:rPr>
        <w:t>lékárny,</w:t>
      </w:r>
    </w:p>
    <w:p>
      <w:pPr>
        <w:pStyle w:val="ListParagraph"/>
        <w:numPr>
          <w:ilvl w:val="0"/>
          <w:numId w:val="2"/>
        </w:numPr>
        <w:tabs>
          <w:tab w:pos="1024" w:val="left" w:leader="none"/>
          <w:tab w:pos="1025" w:val="left" w:leader="none"/>
        </w:tabs>
        <w:spacing w:line="240" w:lineRule="auto" w:before="72" w:after="0"/>
        <w:ind w:left="1024" w:right="0" w:hanging="853"/>
        <w:jc w:val="both"/>
        <w:rPr>
          <w:sz w:val="22"/>
        </w:rPr>
      </w:pPr>
      <w:r>
        <w:rPr>
          <w:sz w:val="22"/>
        </w:rPr>
        <w:t>zřizování ordinací lékařů umožnit v plochách bydlení (B) a smíšených centrálních</w:t>
      </w:r>
      <w:r>
        <w:rPr>
          <w:spacing w:val="-26"/>
          <w:sz w:val="22"/>
        </w:rPr>
        <w:t> </w:t>
      </w:r>
      <w:r>
        <w:rPr>
          <w:sz w:val="22"/>
        </w:rPr>
        <w:t>(C).</w:t>
      </w:r>
    </w:p>
    <w:p>
      <w:pPr>
        <w:pStyle w:val="Heading2"/>
        <w:numPr>
          <w:ilvl w:val="2"/>
          <w:numId w:val="8"/>
        </w:numPr>
        <w:tabs>
          <w:tab w:pos="1025" w:val="left" w:leader="none"/>
          <w:tab w:pos="1026" w:val="left" w:leader="none"/>
        </w:tabs>
        <w:spacing w:line="240" w:lineRule="auto" w:before="179" w:after="0"/>
        <w:ind w:left="1025" w:right="0" w:hanging="853"/>
        <w:jc w:val="left"/>
      </w:pPr>
      <w:r>
        <w:rPr/>
        <w:t>SOCIÁLNÍ</w:t>
      </w:r>
      <w:r>
        <w:rPr>
          <w:spacing w:val="-2"/>
        </w:rPr>
        <w:t> </w:t>
      </w:r>
      <w:r>
        <w:rPr/>
        <w:t>PÉČE</w:t>
      </w:r>
    </w:p>
    <w:p>
      <w:pPr>
        <w:pStyle w:val="ListParagraph"/>
        <w:numPr>
          <w:ilvl w:val="0"/>
          <w:numId w:val="1"/>
        </w:numPr>
        <w:tabs>
          <w:tab w:pos="1025" w:val="left" w:leader="none"/>
          <w:tab w:pos="1026" w:val="left" w:leader="none"/>
        </w:tabs>
        <w:spacing w:line="244" w:lineRule="auto" w:before="117" w:after="0"/>
        <w:ind w:left="1025" w:right="146" w:hanging="852"/>
        <w:jc w:val="both"/>
        <w:rPr>
          <w:sz w:val="22"/>
        </w:rPr>
      </w:pPr>
      <w:r>
        <w:rPr>
          <w:sz w:val="22"/>
        </w:rPr>
        <w:t>Případné další potřeby sociálních služeb řešit rozšířením kapacit </w:t>
      </w:r>
      <w:r>
        <w:rPr>
          <w:b/>
          <w:sz w:val="22"/>
        </w:rPr>
        <w:t>terénní </w:t>
      </w:r>
      <w:r>
        <w:rPr>
          <w:sz w:val="22"/>
        </w:rPr>
        <w:t>pečovatelské služby a domů s pečovatelskou službou</w:t>
      </w:r>
      <w:r>
        <w:rPr>
          <w:spacing w:val="-7"/>
          <w:sz w:val="22"/>
        </w:rPr>
        <w:t> </w:t>
      </w:r>
      <w:r>
        <w:rPr>
          <w:sz w:val="22"/>
        </w:rPr>
        <w:t>(DPS),</w:t>
      </w:r>
    </w:p>
    <w:p>
      <w:pPr>
        <w:pStyle w:val="ListParagraph"/>
        <w:numPr>
          <w:ilvl w:val="0"/>
          <w:numId w:val="1"/>
        </w:numPr>
        <w:tabs>
          <w:tab w:pos="1025" w:val="left" w:leader="none"/>
          <w:tab w:pos="1026" w:val="left" w:leader="none"/>
        </w:tabs>
        <w:spacing w:line="240" w:lineRule="auto" w:before="111" w:after="0"/>
        <w:ind w:left="1025" w:right="146" w:hanging="853"/>
        <w:jc w:val="both"/>
        <w:rPr>
          <w:sz w:val="22"/>
        </w:rPr>
      </w:pPr>
      <w:r>
        <w:rPr>
          <w:b/>
          <w:sz w:val="22"/>
        </w:rPr>
        <w:t>DPS i domovy důchodců </w:t>
      </w:r>
      <w:r>
        <w:rPr>
          <w:sz w:val="22"/>
        </w:rPr>
        <w:t>umisťovat na stávající i navržené plochy bydlení (B) a plochy smíšené centrální (C), stejně jako případné rozšiřování kapacity ubytoven města, azylových bytů a sociálních bytů (např. pro</w:t>
      </w:r>
      <w:r>
        <w:rPr>
          <w:spacing w:val="-2"/>
          <w:sz w:val="22"/>
        </w:rPr>
        <w:t> </w:t>
      </w:r>
      <w:r>
        <w:rPr>
          <w:sz w:val="22"/>
        </w:rPr>
        <w:t>neplatiče),</w:t>
      </w:r>
    </w:p>
    <w:p>
      <w:pPr>
        <w:pStyle w:val="ListParagraph"/>
        <w:numPr>
          <w:ilvl w:val="0"/>
          <w:numId w:val="2"/>
        </w:numPr>
        <w:tabs>
          <w:tab w:pos="1025" w:val="left" w:leader="none"/>
          <w:tab w:pos="1026" w:val="left" w:leader="none"/>
        </w:tabs>
        <w:spacing w:line="240" w:lineRule="auto" w:before="81" w:after="0"/>
        <w:ind w:left="1025" w:right="0" w:hanging="853"/>
        <w:jc w:val="both"/>
        <w:rPr>
          <w:sz w:val="22"/>
        </w:rPr>
      </w:pPr>
      <w:r>
        <w:rPr>
          <w:sz w:val="22"/>
        </w:rPr>
        <w:t>obdobně na těchto plochách zakládat chráněné dílny pro zdravotně postižené</w:t>
      </w:r>
      <w:r>
        <w:rPr>
          <w:spacing w:val="-22"/>
          <w:sz w:val="22"/>
        </w:rPr>
        <w:t> </w:t>
      </w:r>
      <w:r>
        <w:rPr>
          <w:sz w:val="22"/>
        </w:rPr>
        <w:t>občany.</w:t>
      </w:r>
    </w:p>
    <w:p>
      <w:pPr>
        <w:pStyle w:val="Heading2"/>
        <w:numPr>
          <w:ilvl w:val="2"/>
          <w:numId w:val="8"/>
        </w:numPr>
        <w:tabs>
          <w:tab w:pos="1025" w:val="left" w:leader="none"/>
          <w:tab w:pos="1026" w:val="left" w:leader="none"/>
        </w:tabs>
        <w:spacing w:line="240" w:lineRule="auto" w:before="179" w:after="0"/>
        <w:ind w:left="1025" w:right="0" w:hanging="853"/>
        <w:jc w:val="left"/>
      </w:pPr>
      <w:r>
        <w:rPr/>
        <w:t>KULTURA</w:t>
      </w:r>
    </w:p>
    <w:p>
      <w:pPr>
        <w:pStyle w:val="ListParagraph"/>
        <w:numPr>
          <w:ilvl w:val="0"/>
          <w:numId w:val="1"/>
        </w:numPr>
        <w:tabs>
          <w:tab w:pos="1025" w:val="left" w:leader="none"/>
          <w:tab w:pos="1026" w:val="left" w:leader="none"/>
        </w:tabs>
        <w:spacing w:line="240" w:lineRule="auto" w:before="120" w:after="0"/>
        <w:ind w:left="1025" w:right="146" w:hanging="852"/>
        <w:jc w:val="both"/>
        <w:rPr>
          <w:sz w:val="22"/>
        </w:rPr>
      </w:pPr>
      <w:r>
        <w:rPr>
          <w:b/>
          <w:sz w:val="22"/>
        </w:rPr>
        <w:t>V druhové nabídce </w:t>
      </w:r>
      <w:r>
        <w:rPr>
          <w:sz w:val="22"/>
        </w:rPr>
        <w:t>vybavení v oblasti kulturně-společenské zachovat stálé kino, muzeum vč. výstavní síně, muzeum hasičské techniky, Městskou knihovnu s připojením na internet, Městské informační centrum v rámci ploch smíšených centrálních (C), kostely v Chrastavě, Andělské Hoře a Horním</w:t>
      </w:r>
      <w:r>
        <w:rPr>
          <w:spacing w:val="-2"/>
          <w:sz w:val="22"/>
        </w:rPr>
        <w:t> </w:t>
      </w:r>
      <w:r>
        <w:rPr>
          <w:sz w:val="22"/>
        </w:rPr>
        <w:t>Vítkově,</w:t>
      </w:r>
    </w:p>
    <w:p>
      <w:pPr>
        <w:pStyle w:val="ListParagraph"/>
        <w:numPr>
          <w:ilvl w:val="0"/>
          <w:numId w:val="2"/>
        </w:numPr>
        <w:tabs>
          <w:tab w:pos="1025" w:val="left" w:leader="none"/>
          <w:tab w:pos="1026" w:val="left" w:leader="none"/>
        </w:tabs>
        <w:spacing w:line="240" w:lineRule="auto" w:before="80" w:after="0"/>
        <w:ind w:left="1025" w:right="144" w:hanging="852"/>
        <w:jc w:val="both"/>
        <w:rPr>
          <w:sz w:val="22"/>
        </w:rPr>
      </w:pPr>
      <w:r>
        <w:rPr>
          <w:sz w:val="22"/>
        </w:rPr>
        <w:t>na plochách smíšených centrálních (C) a plochách občanského vybavení (O) umožnit vznik nových zařízení tohoto druhu na neziskovém či tržním základě (např. zřízení Multikulturního</w:t>
      </w:r>
      <w:r>
        <w:rPr>
          <w:spacing w:val="-1"/>
          <w:sz w:val="22"/>
        </w:rPr>
        <w:t> </w:t>
      </w:r>
      <w:r>
        <w:rPr>
          <w:sz w:val="22"/>
        </w:rPr>
        <w:t>centra).</w:t>
      </w:r>
    </w:p>
    <w:p>
      <w:pPr>
        <w:pStyle w:val="Heading2"/>
        <w:tabs>
          <w:tab w:pos="1025" w:val="left" w:leader="none"/>
        </w:tabs>
        <w:spacing w:before="179"/>
        <w:ind w:left="173" w:firstLine="0"/>
      </w:pPr>
      <w:r>
        <w:rPr/>
        <w:t>D3.5</w:t>
        <w:tab/>
        <w:t>SPRÁVA</w:t>
      </w:r>
    </w:p>
    <w:p>
      <w:pPr>
        <w:pStyle w:val="ListParagraph"/>
        <w:numPr>
          <w:ilvl w:val="0"/>
          <w:numId w:val="1"/>
        </w:numPr>
        <w:tabs>
          <w:tab w:pos="1025" w:val="left" w:leader="none"/>
          <w:tab w:pos="1026" w:val="left" w:leader="none"/>
        </w:tabs>
        <w:spacing w:line="244" w:lineRule="auto" w:before="118" w:after="0"/>
        <w:ind w:left="1025" w:right="147" w:hanging="852"/>
        <w:jc w:val="both"/>
        <w:rPr>
          <w:sz w:val="22"/>
        </w:rPr>
      </w:pPr>
      <w:r>
        <w:rPr>
          <w:b/>
          <w:sz w:val="22"/>
        </w:rPr>
        <w:t>V druhové nabídce </w:t>
      </w:r>
      <w:r>
        <w:rPr>
          <w:sz w:val="22"/>
        </w:rPr>
        <w:t>vybavení v oblasti správy zachovat ve městě sídlo matriky, stavebního úřadu, pošty, policie ČR i Městské policie, poboček bankovních</w:t>
      </w:r>
      <w:r>
        <w:rPr>
          <w:spacing w:val="-13"/>
          <w:sz w:val="22"/>
        </w:rPr>
        <w:t> </w:t>
      </w:r>
      <w:r>
        <w:rPr>
          <w:sz w:val="22"/>
        </w:rPr>
        <w:t>ústavů,</w:t>
      </w:r>
    </w:p>
    <w:p>
      <w:pPr>
        <w:pStyle w:val="ListParagraph"/>
        <w:numPr>
          <w:ilvl w:val="0"/>
          <w:numId w:val="2"/>
        </w:numPr>
        <w:tabs>
          <w:tab w:pos="1025" w:val="left" w:leader="none"/>
          <w:tab w:pos="1026" w:val="left" w:leader="none"/>
        </w:tabs>
        <w:spacing w:line="240" w:lineRule="auto" w:before="72" w:after="0"/>
        <w:ind w:left="1025" w:right="145" w:hanging="853"/>
        <w:jc w:val="both"/>
        <w:rPr>
          <w:sz w:val="22"/>
        </w:rPr>
      </w:pPr>
      <w:r>
        <w:rPr>
          <w:sz w:val="22"/>
        </w:rPr>
        <w:t>pro využití potenciálu obce II. stupně (POÚ) využít plochy smíšené centrální (C), které umožní vznik nových zařízení tohoto druhu na neziskovém i tržním</w:t>
      </w:r>
      <w:r>
        <w:rPr>
          <w:spacing w:val="-11"/>
          <w:sz w:val="22"/>
        </w:rPr>
        <w:t> </w:t>
      </w:r>
      <w:r>
        <w:rPr>
          <w:sz w:val="22"/>
        </w:rPr>
        <w:t>základě.</w:t>
      </w:r>
    </w:p>
    <w:p>
      <w:pPr>
        <w:pStyle w:val="Heading2"/>
        <w:tabs>
          <w:tab w:pos="1025" w:val="left" w:leader="none"/>
        </w:tabs>
        <w:spacing w:before="178"/>
        <w:ind w:left="173" w:firstLine="0"/>
      </w:pPr>
      <w:r>
        <w:rPr/>
        <w:t>D.3.6</w:t>
        <w:tab/>
        <w:t>SPORT A REKREACE</w:t>
      </w:r>
    </w:p>
    <w:p>
      <w:pPr>
        <w:pStyle w:val="ListParagraph"/>
        <w:numPr>
          <w:ilvl w:val="0"/>
          <w:numId w:val="1"/>
        </w:numPr>
        <w:tabs>
          <w:tab w:pos="1025" w:val="left" w:leader="none"/>
          <w:tab w:pos="1026" w:val="left" w:leader="none"/>
        </w:tabs>
        <w:spacing w:line="240" w:lineRule="auto" w:before="120" w:after="0"/>
        <w:ind w:left="1025" w:right="144" w:hanging="853"/>
        <w:jc w:val="both"/>
        <w:rPr>
          <w:sz w:val="22"/>
        </w:rPr>
      </w:pPr>
      <w:r>
        <w:rPr>
          <w:sz w:val="22"/>
        </w:rPr>
        <w:t>V ploše Z12 rozvíjet sportovní areál v </w:t>
      </w:r>
      <w:r>
        <w:rPr>
          <w:b/>
          <w:sz w:val="22"/>
        </w:rPr>
        <w:t>centrální zóně </w:t>
      </w:r>
      <w:r>
        <w:rPr>
          <w:sz w:val="22"/>
        </w:rPr>
        <w:t>s možností výstavby polyfunkčního objektu s 25m bazénem, rozšířením stávající plochy v jižní části umožnit vybudování atletického běžeckého oválu s hřištěm pro kopanou a dalšími</w:t>
      </w:r>
      <w:r>
        <w:rPr>
          <w:spacing w:val="-4"/>
          <w:sz w:val="22"/>
        </w:rPr>
        <w:t> </w:t>
      </w:r>
      <w:r>
        <w:rPr>
          <w:sz w:val="22"/>
        </w:rPr>
        <w:t>hřišti.</w:t>
      </w:r>
    </w:p>
    <w:p>
      <w:pPr>
        <w:pStyle w:val="ListParagraph"/>
        <w:numPr>
          <w:ilvl w:val="0"/>
          <w:numId w:val="1"/>
        </w:numPr>
        <w:tabs>
          <w:tab w:pos="1025" w:val="left" w:leader="none"/>
          <w:tab w:pos="1026" w:val="left" w:leader="none"/>
        </w:tabs>
        <w:spacing w:line="244" w:lineRule="auto" w:before="120" w:after="0"/>
        <w:ind w:left="1025" w:right="143" w:hanging="852"/>
        <w:jc w:val="both"/>
        <w:rPr>
          <w:sz w:val="22"/>
        </w:rPr>
      </w:pPr>
      <w:r>
        <w:rPr>
          <w:b/>
          <w:sz w:val="22"/>
        </w:rPr>
        <w:t>Městské koupaliště </w:t>
      </w:r>
      <w:r>
        <w:rPr>
          <w:sz w:val="22"/>
        </w:rPr>
        <w:t>doplnit o víceúčelové hřiště a autokemping včetně parkoviště (plochy 11.S,</w:t>
      </w:r>
      <w:r>
        <w:rPr>
          <w:spacing w:val="1"/>
          <w:sz w:val="22"/>
        </w:rPr>
        <w:t> </w:t>
      </w:r>
      <w:r>
        <w:rPr>
          <w:sz w:val="22"/>
        </w:rPr>
        <w:t>12.S).</w:t>
      </w:r>
    </w:p>
    <w:p>
      <w:pPr>
        <w:pStyle w:val="ListParagraph"/>
        <w:numPr>
          <w:ilvl w:val="0"/>
          <w:numId w:val="1"/>
        </w:numPr>
        <w:tabs>
          <w:tab w:pos="1025" w:val="left" w:leader="none"/>
          <w:tab w:pos="1026" w:val="left" w:leader="none"/>
        </w:tabs>
        <w:spacing w:line="240" w:lineRule="auto" w:before="110" w:after="0"/>
        <w:ind w:left="1025" w:right="145" w:hanging="852"/>
        <w:jc w:val="both"/>
        <w:rPr>
          <w:sz w:val="22"/>
        </w:rPr>
      </w:pPr>
      <w:r>
        <w:rPr>
          <w:sz w:val="22"/>
        </w:rPr>
        <w:t>Na sídlišti </w:t>
      </w:r>
      <w:r>
        <w:rPr>
          <w:b/>
          <w:sz w:val="22"/>
        </w:rPr>
        <w:t>Střelecký vrch </w:t>
      </w:r>
      <w:r>
        <w:rPr>
          <w:sz w:val="22"/>
        </w:rPr>
        <w:t>rozšířit sportovně rekreační funkci v plochách občanského vybavení-sportu 27.S, 28.S, které budou sloužit jako sportovně rekreační zázemí sídliště ve vazbě na revitalizované rybníky a lesopark, drobnou sportovně rekreační plochu vybudovat v ulici Ještědské v ploše</w:t>
      </w:r>
      <w:r>
        <w:rPr>
          <w:spacing w:val="-5"/>
          <w:sz w:val="22"/>
        </w:rPr>
        <w:t> </w:t>
      </w:r>
      <w:r>
        <w:rPr>
          <w:sz w:val="22"/>
        </w:rPr>
        <w:t>61.S.</w:t>
      </w:r>
    </w:p>
    <w:p>
      <w:pPr>
        <w:pStyle w:val="ListParagraph"/>
        <w:numPr>
          <w:ilvl w:val="0"/>
          <w:numId w:val="1"/>
        </w:numPr>
        <w:tabs>
          <w:tab w:pos="1025" w:val="left" w:leader="none"/>
          <w:tab w:pos="1026" w:val="left" w:leader="none"/>
        </w:tabs>
        <w:spacing w:line="240" w:lineRule="auto" w:before="121" w:after="0"/>
        <w:ind w:left="1025" w:right="0" w:hanging="853"/>
        <w:jc w:val="both"/>
        <w:rPr>
          <w:sz w:val="22"/>
        </w:rPr>
      </w:pPr>
      <w:r>
        <w:rPr>
          <w:sz w:val="22"/>
        </w:rPr>
        <w:t>V Andělské Hoře na pravém břehu Lužické Nisy stabilizovat </w:t>
      </w:r>
      <w:r>
        <w:rPr>
          <w:b/>
          <w:sz w:val="22"/>
        </w:rPr>
        <w:t>lyžařský </w:t>
      </w:r>
      <w:r>
        <w:rPr>
          <w:sz w:val="22"/>
        </w:rPr>
        <w:t>svah s</w:t>
      </w:r>
      <w:r>
        <w:rPr>
          <w:spacing w:val="-17"/>
          <w:sz w:val="22"/>
        </w:rPr>
        <w:t> </w:t>
      </w:r>
      <w:r>
        <w:rPr>
          <w:sz w:val="22"/>
        </w:rPr>
        <w:t>vlekem.</w:t>
      </w:r>
    </w:p>
    <w:p>
      <w:pPr>
        <w:pStyle w:val="ListParagraph"/>
        <w:numPr>
          <w:ilvl w:val="0"/>
          <w:numId w:val="1"/>
        </w:numPr>
        <w:tabs>
          <w:tab w:pos="1025" w:val="left" w:leader="none"/>
          <w:tab w:pos="1026" w:val="left" w:leader="none"/>
        </w:tabs>
        <w:spacing w:line="240" w:lineRule="auto" w:before="121" w:after="0"/>
        <w:ind w:left="1025" w:right="142" w:hanging="853"/>
        <w:jc w:val="both"/>
        <w:rPr>
          <w:sz w:val="22"/>
        </w:rPr>
      </w:pPr>
      <w:r>
        <w:rPr>
          <w:sz w:val="22"/>
        </w:rPr>
        <w:t>Drobné plochy pro sportovně rekreační aktivity považovat za standardní součást ploch bydlení (B), sportovní </w:t>
      </w:r>
      <w:r>
        <w:rPr>
          <w:b/>
          <w:sz w:val="22"/>
        </w:rPr>
        <w:t>areál ZŠ </w:t>
      </w:r>
      <w:r>
        <w:rPr>
          <w:sz w:val="22"/>
        </w:rPr>
        <w:t>v rámci programu „Sport pro všechny“ doplnit o další sportoviště na jeho dosud nevyužívaných plochách a otevřít využití obyvatelům</w:t>
      </w:r>
      <w:r>
        <w:rPr>
          <w:spacing w:val="-22"/>
          <w:sz w:val="22"/>
        </w:rPr>
        <w:t> </w:t>
      </w:r>
      <w:r>
        <w:rPr>
          <w:sz w:val="22"/>
        </w:rPr>
        <w:t>města.</w:t>
      </w:r>
    </w:p>
    <w:p>
      <w:pPr>
        <w:spacing w:after="0" w:line="240" w:lineRule="auto"/>
        <w:jc w:val="both"/>
        <w:rPr>
          <w:sz w:val="22"/>
        </w:rPr>
        <w:sectPr>
          <w:pgSz w:w="11900" w:h="16840"/>
          <w:pgMar w:header="557" w:footer="582" w:top="760" w:bottom="780" w:left="960" w:right="980"/>
        </w:sectPr>
      </w:pPr>
    </w:p>
    <w:p>
      <w:pPr>
        <w:pStyle w:val="BodyText"/>
        <w:ind w:left="0" w:firstLine="0"/>
        <w:jc w:val="left"/>
        <w:rPr>
          <w:sz w:val="20"/>
        </w:rPr>
      </w:pPr>
    </w:p>
    <w:p>
      <w:pPr>
        <w:pStyle w:val="BodyText"/>
        <w:spacing w:before="3"/>
        <w:ind w:left="0" w:firstLine="0"/>
        <w:jc w:val="left"/>
        <w:rPr>
          <w:sz w:val="11"/>
        </w:rPr>
      </w:pPr>
    </w:p>
    <w:p>
      <w:pPr>
        <w:pStyle w:val="BodyText"/>
        <w:ind w:left="144" w:firstLine="0"/>
        <w:jc w:val="left"/>
        <w:rPr>
          <w:sz w:val="20"/>
        </w:rPr>
      </w:pPr>
      <w:r>
        <w:rPr>
          <w:sz w:val="20"/>
        </w:rPr>
        <w:pict>
          <v:shape style="width:484.7pt;height:15pt;mso-position-horizontal-relative:char;mso-position-vertical-relative:line" type="#_x0000_t202" filled="true" fillcolor="#ccffff" stroked="false">
            <w10:anchorlock/>
            <v:textbox inset="0,0,0,0">
              <w:txbxContent>
                <w:p>
                  <w:pPr>
                    <w:tabs>
                      <w:tab w:pos="880" w:val="left" w:leader="none"/>
                    </w:tabs>
                    <w:spacing w:line="295" w:lineRule="exact" w:before="0"/>
                    <w:ind w:left="28" w:right="0" w:firstLine="0"/>
                    <w:jc w:val="left"/>
                    <w:rPr>
                      <w:b/>
                      <w:sz w:val="26"/>
                    </w:rPr>
                  </w:pPr>
                  <w:r>
                    <w:rPr>
                      <w:b/>
                      <w:sz w:val="26"/>
                    </w:rPr>
                    <w:t>D.4</w:t>
                    <w:tab/>
                    <w:t>VEŘEJNÁ</w:t>
                  </w:r>
                  <w:r>
                    <w:rPr>
                      <w:b/>
                      <w:spacing w:val="-2"/>
                      <w:sz w:val="26"/>
                    </w:rPr>
                    <w:t> </w:t>
                  </w:r>
                  <w:r>
                    <w:rPr>
                      <w:b/>
                      <w:sz w:val="26"/>
                    </w:rPr>
                    <w:t>PROSTRANSTVÍ</w:t>
                  </w:r>
                </w:p>
              </w:txbxContent>
            </v:textbox>
            <v:fill type="solid"/>
          </v:shape>
        </w:pict>
      </w:r>
      <w:r>
        <w:rPr>
          <w:sz w:val="20"/>
        </w:rPr>
      </w:r>
    </w:p>
    <w:p>
      <w:pPr>
        <w:pStyle w:val="ListParagraph"/>
        <w:numPr>
          <w:ilvl w:val="0"/>
          <w:numId w:val="1"/>
        </w:numPr>
        <w:tabs>
          <w:tab w:pos="1024" w:val="left" w:leader="none"/>
          <w:tab w:pos="1025" w:val="left" w:leader="none"/>
        </w:tabs>
        <w:spacing w:line="237" w:lineRule="auto" w:before="104" w:after="0"/>
        <w:ind w:left="1024" w:right="146" w:hanging="853"/>
        <w:jc w:val="both"/>
        <w:rPr>
          <w:sz w:val="22"/>
        </w:rPr>
      </w:pPr>
      <w:r>
        <w:rPr>
          <w:sz w:val="22"/>
        </w:rPr>
        <w:t>Pozemky veřejných prostranství zřizované nebo užívané ve veřejném zájmu podle § 34 zákona č. 128/2000 Sb., o obcích se vymezují na </w:t>
      </w:r>
      <w:r>
        <w:rPr>
          <w:b/>
          <w:sz w:val="22"/>
        </w:rPr>
        <w:t>plochách veřejných prostranství</w:t>
      </w:r>
      <w:r>
        <w:rPr>
          <w:b/>
          <w:spacing w:val="-36"/>
          <w:sz w:val="22"/>
        </w:rPr>
        <w:t> </w:t>
      </w:r>
      <w:r>
        <w:rPr>
          <w:sz w:val="22"/>
        </w:rPr>
        <w:t>(P),</w:t>
      </w:r>
    </w:p>
    <w:p>
      <w:pPr>
        <w:pStyle w:val="ListParagraph"/>
        <w:numPr>
          <w:ilvl w:val="0"/>
          <w:numId w:val="2"/>
        </w:numPr>
        <w:tabs>
          <w:tab w:pos="1024" w:val="left" w:leader="none"/>
          <w:tab w:pos="1025" w:val="left" w:leader="none"/>
        </w:tabs>
        <w:spacing w:line="240" w:lineRule="auto" w:before="45" w:after="0"/>
        <w:ind w:left="1024" w:right="0" w:hanging="853"/>
        <w:jc w:val="both"/>
        <w:rPr>
          <w:sz w:val="22"/>
        </w:rPr>
      </w:pPr>
      <w:r>
        <w:rPr>
          <w:sz w:val="22"/>
        </w:rPr>
        <w:t>funkci veřejných prostranství budou plnit i plochy sídelní zeleně</w:t>
      </w:r>
      <w:r>
        <w:rPr>
          <w:spacing w:val="-11"/>
          <w:sz w:val="22"/>
        </w:rPr>
        <w:t> </w:t>
      </w:r>
      <w:r>
        <w:rPr>
          <w:sz w:val="22"/>
        </w:rPr>
        <w:t>(Z).</w:t>
      </w:r>
    </w:p>
    <w:p>
      <w:pPr>
        <w:pStyle w:val="ListParagraph"/>
        <w:numPr>
          <w:ilvl w:val="0"/>
          <w:numId w:val="1"/>
        </w:numPr>
        <w:tabs>
          <w:tab w:pos="1024" w:val="left" w:leader="none"/>
          <w:tab w:pos="1025" w:val="left" w:leader="none"/>
        </w:tabs>
        <w:spacing w:line="240" w:lineRule="auto" w:before="115" w:after="0"/>
        <w:ind w:left="1024" w:right="144" w:hanging="853"/>
        <w:jc w:val="both"/>
        <w:rPr>
          <w:sz w:val="22"/>
        </w:rPr>
      </w:pPr>
      <w:r>
        <w:rPr>
          <w:sz w:val="22"/>
        </w:rPr>
        <w:t>Těmito plochami vytvořit </w:t>
      </w:r>
      <w:r>
        <w:rPr>
          <w:b/>
          <w:sz w:val="22"/>
        </w:rPr>
        <w:t>souvislou kostru </w:t>
      </w:r>
      <w:r>
        <w:rPr>
          <w:sz w:val="22"/>
        </w:rPr>
        <w:t>veřejných prostranství v jádrovém sídelním útvaru i v okrajových venkovských částech zajišťující prostorové členění zástavby, veřejný trvalý přístup k plochám s rozdílným způsobem využití, prostupnost krajiny, každodenní shromažďování a rekreaci obyvatel i návštěvníků obce a další</w:t>
      </w:r>
      <w:r>
        <w:rPr>
          <w:spacing w:val="-12"/>
          <w:sz w:val="22"/>
        </w:rPr>
        <w:t> </w:t>
      </w:r>
      <w:r>
        <w:rPr>
          <w:sz w:val="22"/>
        </w:rPr>
        <w:t>funkce.</w:t>
      </w:r>
    </w:p>
    <w:p>
      <w:pPr>
        <w:pStyle w:val="ListParagraph"/>
        <w:numPr>
          <w:ilvl w:val="0"/>
          <w:numId w:val="1"/>
        </w:numPr>
        <w:tabs>
          <w:tab w:pos="1024" w:val="left" w:leader="none"/>
          <w:tab w:pos="1025" w:val="left" w:leader="none"/>
        </w:tabs>
        <w:spacing w:line="240" w:lineRule="auto" w:before="124" w:after="0"/>
        <w:ind w:left="1024" w:right="144" w:hanging="853"/>
        <w:jc w:val="both"/>
        <w:rPr>
          <w:sz w:val="22"/>
        </w:rPr>
      </w:pPr>
      <w:r>
        <w:rPr>
          <w:sz w:val="22"/>
        </w:rPr>
        <w:t>Další veřejná prostranství umisťovat podle potřeby na ostatních stabilizovaných plochách s rozdílným způsobem využití, přičemž jejich rozsah a umístění musí splňovat požadavky obecně závazných předpisů,</w:t>
      </w:r>
    </w:p>
    <w:p>
      <w:pPr>
        <w:pStyle w:val="ListParagraph"/>
        <w:numPr>
          <w:ilvl w:val="0"/>
          <w:numId w:val="2"/>
        </w:numPr>
        <w:tabs>
          <w:tab w:pos="1024" w:val="left" w:leader="none"/>
          <w:tab w:pos="1025" w:val="left" w:leader="none"/>
        </w:tabs>
        <w:spacing w:line="240" w:lineRule="auto" w:before="40" w:after="0"/>
        <w:ind w:left="1024" w:right="146" w:hanging="853"/>
        <w:jc w:val="both"/>
        <w:rPr>
          <w:sz w:val="22"/>
        </w:rPr>
      </w:pPr>
      <w:r>
        <w:rPr>
          <w:sz w:val="22"/>
        </w:rPr>
        <w:t>v rozvojových plochách jejich umístění upřesňovat na základě podmínek pro využití ploch uvedených v tabulkách kapitoly „C.2 Návrh zastavitelných ploch, ploch přestavby a nezastavitelných ploch“ návrhu</w:t>
      </w:r>
      <w:r>
        <w:rPr>
          <w:spacing w:val="-2"/>
          <w:sz w:val="22"/>
        </w:rPr>
        <w:t> </w:t>
      </w:r>
      <w:r>
        <w:rPr>
          <w:sz w:val="22"/>
        </w:rPr>
        <w:t>ÚP:</w:t>
      </w:r>
    </w:p>
    <w:p>
      <w:pPr>
        <w:pStyle w:val="ListParagraph"/>
        <w:numPr>
          <w:ilvl w:val="0"/>
          <w:numId w:val="2"/>
        </w:numPr>
        <w:tabs>
          <w:tab w:pos="1024" w:val="left" w:leader="none"/>
          <w:tab w:pos="1025" w:val="left" w:leader="none"/>
        </w:tabs>
        <w:spacing w:line="240" w:lineRule="auto" w:before="37" w:after="0"/>
        <w:ind w:left="1024" w:right="146" w:hanging="852"/>
        <w:jc w:val="both"/>
        <w:rPr>
          <w:sz w:val="22"/>
        </w:rPr>
      </w:pPr>
      <w:r>
        <w:rPr>
          <w:b/>
          <w:sz w:val="22"/>
        </w:rPr>
        <w:t>„VP </w:t>
      </w:r>
      <w:r>
        <w:rPr>
          <w:sz w:val="22"/>
        </w:rPr>
        <w:t>– v dalších stupních projektové přípravy prokázat způsob vymezení veřejných prostranství na celé ploše vč. návaznosti na širší</w:t>
      </w:r>
      <w:r>
        <w:rPr>
          <w:spacing w:val="-7"/>
          <w:sz w:val="22"/>
        </w:rPr>
        <w:t> </w:t>
      </w:r>
      <w:r>
        <w:rPr>
          <w:sz w:val="22"/>
        </w:rPr>
        <w:t>území“.</w:t>
      </w:r>
    </w:p>
    <w:p>
      <w:pPr>
        <w:pStyle w:val="ListParagraph"/>
        <w:numPr>
          <w:ilvl w:val="0"/>
          <w:numId w:val="1"/>
        </w:numPr>
        <w:tabs>
          <w:tab w:pos="1024" w:val="left" w:leader="none"/>
          <w:tab w:pos="1025" w:val="left" w:leader="none"/>
        </w:tabs>
        <w:spacing w:line="240" w:lineRule="auto" w:before="117" w:after="0"/>
        <w:ind w:left="1024" w:right="0" w:hanging="853"/>
        <w:jc w:val="both"/>
        <w:rPr>
          <w:sz w:val="22"/>
        </w:rPr>
      </w:pPr>
      <w:r>
        <w:rPr>
          <w:sz w:val="22"/>
        </w:rPr>
        <w:t>Realizovat nové dopravní stavby na </w:t>
      </w:r>
      <w:r>
        <w:rPr>
          <w:b/>
          <w:sz w:val="22"/>
        </w:rPr>
        <w:t>plochách veřejných prostranství </w:t>
      </w:r>
      <w:r>
        <w:rPr>
          <w:sz w:val="22"/>
        </w:rPr>
        <w:t>(P)</w:t>
      </w:r>
      <w:r>
        <w:rPr>
          <w:spacing w:val="-14"/>
          <w:sz w:val="22"/>
        </w:rPr>
        <w:t> </w:t>
      </w:r>
      <w:r>
        <w:rPr>
          <w:sz w:val="22"/>
        </w:rPr>
        <w:t>jako:</w:t>
      </w:r>
    </w:p>
    <w:p>
      <w:pPr>
        <w:pStyle w:val="ListParagraph"/>
        <w:numPr>
          <w:ilvl w:val="0"/>
          <w:numId w:val="2"/>
        </w:numPr>
        <w:tabs>
          <w:tab w:pos="1024" w:val="left" w:leader="none"/>
          <w:tab w:pos="1025" w:val="left" w:leader="none"/>
        </w:tabs>
        <w:spacing w:line="240" w:lineRule="auto" w:before="44" w:after="0"/>
        <w:ind w:left="1024" w:right="145" w:hanging="853"/>
        <w:jc w:val="both"/>
        <w:rPr>
          <w:sz w:val="22"/>
        </w:rPr>
      </w:pPr>
      <w:r>
        <w:rPr>
          <w:sz w:val="22"/>
        </w:rPr>
        <w:t>samostatné pěší a cyklistické trasy, místní obslužné komunikace a další městské uliční prostory – plochy 3.P, 4.P, 10.P, 24.P, 29.P, 32.P, 41.P, 45.P, 72.P, 75.P, 76.P,</w:t>
      </w:r>
      <w:r>
        <w:rPr>
          <w:spacing w:val="-23"/>
          <w:sz w:val="22"/>
        </w:rPr>
        <w:t> </w:t>
      </w:r>
      <w:r>
        <w:rPr>
          <w:sz w:val="22"/>
        </w:rPr>
        <w:t>130.P.</w:t>
      </w:r>
    </w:p>
    <w:p>
      <w:pPr>
        <w:pStyle w:val="ListParagraph"/>
        <w:numPr>
          <w:ilvl w:val="0"/>
          <w:numId w:val="1"/>
        </w:numPr>
        <w:tabs>
          <w:tab w:pos="1024" w:val="left" w:leader="none"/>
          <w:tab w:pos="1025" w:val="left" w:leader="none"/>
        </w:tabs>
        <w:spacing w:line="240" w:lineRule="auto" w:before="115" w:after="0"/>
        <w:ind w:left="1024" w:right="0" w:hanging="853"/>
        <w:jc w:val="both"/>
        <w:rPr>
          <w:sz w:val="22"/>
        </w:rPr>
      </w:pPr>
      <w:r>
        <w:rPr>
          <w:sz w:val="22"/>
        </w:rPr>
        <w:t>Realizovat nové </w:t>
      </w:r>
      <w:r>
        <w:rPr>
          <w:b/>
          <w:sz w:val="22"/>
        </w:rPr>
        <w:t>plochy sídelní zeleně </w:t>
      </w:r>
      <w:r>
        <w:rPr>
          <w:sz w:val="22"/>
        </w:rPr>
        <w:t>(Z) - park na kostelním pahorku – plocha</w:t>
      </w:r>
      <w:r>
        <w:rPr>
          <w:spacing w:val="-23"/>
          <w:sz w:val="22"/>
        </w:rPr>
        <w:t> </w:t>
      </w:r>
      <w:r>
        <w:rPr>
          <w:sz w:val="22"/>
        </w:rPr>
        <w:t>47.Z.</w:t>
      </w:r>
    </w:p>
    <w:p>
      <w:pPr>
        <w:pStyle w:val="BodyText"/>
        <w:spacing w:before="1"/>
        <w:ind w:left="0" w:firstLine="0"/>
        <w:jc w:val="left"/>
        <w:rPr>
          <w:sz w:val="19"/>
        </w:rPr>
      </w:pPr>
      <w:r>
        <w:rPr/>
        <w:pict>
          <v:shape style="position:absolute;margin-left:55.199997pt;margin-top:12.210023pt;width:484.7pt;height:15pt;mso-position-horizontal-relative:page;mso-position-vertical-relative:paragraph;z-index:-15719936;mso-wrap-distance-left:0;mso-wrap-distance-right:0" type="#_x0000_t202" filled="true" fillcolor="#ccffff" stroked="false">
            <v:textbox inset="0,0,0,0">
              <w:txbxContent>
                <w:p>
                  <w:pPr>
                    <w:tabs>
                      <w:tab w:pos="880" w:val="left" w:leader="none"/>
                    </w:tabs>
                    <w:spacing w:line="295" w:lineRule="exact" w:before="0"/>
                    <w:ind w:left="28" w:right="0" w:firstLine="0"/>
                    <w:jc w:val="left"/>
                    <w:rPr>
                      <w:b/>
                      <w:sz w:val="26"/>
                    </w:rPr>
                  </w:pPr>
                  <w:r>
                    <w:rPr>
                      <w:b/>
                      <w:sz w:val="26"/>
                    </w:rPr>
                    <w:t>D.5</w:t>
                    <w:tab/>
                    <w:t>CIVILNÍ OCHRANA, ZVLÁŠTNÍ</w:t>
                  </w:r>
                  <w:r>
                    <w:rPr>
                      <w:b/>
                      <w:spacing w:val="4"/>
                      <w:sz w:val="26"/>
                    </w:rPr>
                    <w:t> </w:t>
                  </w:r>
                  <w:r>
                    <w:rPr>
                      <w:b/>
                      <w:sz w:val="26"/>
                    </w:rPr>
                    <w:t>ZÁJMY</w:t>
                  </w:r>
                </w:p>
              </w:txbxContent>
            </v:textbox>
            <v:fill type="solid"/>
            <w10:wrap type="topAndBottom"/>
          </v:shape>
        </w:pict>
      </w:r>
    </w:p>
    <w:p>
      <w:pPr>
        <w:pStyle w:val="Heading2"/>
        <w:numPr>
          <w:ilvl w:val="2"/>
          <w:numId w:val="9"/>
        </w:numPr>
        <w:tabs>
          <w:tab w:pos="1024" w:val="left" w:leader="none"/>
          <w:tab w:pos="1025" w:val="left" w:leader="none"/>
        </w:tabs>
        <w:spacing w:line="240" w:lineRule="auto" w:before="161" w:after="0"/>
        <w:ind w:left="1024" w:right="456" w:hanging="852"/>
        <w:jc w:val="left"/>
      </w:pPr>
      <w:r>
        <w:rPr/>
        <w:t>OCHRANA ÚZEMÍ PŘED PRŮCHODEM PRŮLOMOVÉ VLNY</w:t>
      </w:r>
      <w:r>
        <w:rPr>
          <w:spacing w:val="-15"/>
        </w:rPr>
        <w:t> </w:t>
      </w:r>
      <w:r>
        <w:rPr/>
        <w:t>VZNIKLÉ ZVLÁŠTNÍ</w:t>
      </w:r>
      <w:r>
        <w:rPr>
          <w:spacing w:val="-2"/>
        </w:rPr>
        <w:t> </w:t>
      </w:r>
      <w:r>
        <w:rPr/>
        <w:t>POVODNÍ</w:t>
      </w:r>
    </w:p>
    <w:p>
      <w:pPr>
        <w:pStyle w:val="ListParagraph"/>
        <w:numPr>
          <w:ilvl w:val="0"/>
          <w:numId w:val="1"/>
        </w:numPr>
        <w:tabs>
          <w:tab w:pos="1024" w:val="left" w:leader="none"/>
          <w:tab w:pos="1025" w:val="left" w:leader="none"/>
        </w:tabs>
        <w:spacing w:line="240" w:lineRule="auto" w:before="119" w:after="0"/>
        <w:ind w:left="1024" w:right="146" w:hanging="852"/>
        <w:jc w:val="both"/>
        <w:rPr>
          <w:sz w:val="22"/>
        </w:rPr>
      </w:pPr>
      <w:r>
        <w:rPr>
          <w:sz w:val="22"/>
        </w:rPr>
        <w:t>Při změnách využití území počítat s faktem, že při </w:t>
      </w:r>
      <w:r>
        <w:rPr>
          <w:b/>
          <w:sz w:val="22"/>
        </w:rPr>
        <w:t>průlomové vlně </w:t>
      </w:r>
      <w:r>
        <w:rPr>
          <w:sz w:val="22"/>
        </w:rPr>
        <w:t>vzniklé porušením hráze vodních děl situovaných mimo řešené území města (Mlýnice, Fojtka, Mšeno, Harcovská přehrada) dojde k mimořádné události i v zastavěném území města Chrastava podél vodního toku Jeřice i Lužické</w:t>
      </w:r>
      <w:r>
        <w:rPr>
          <w:spacing w:val="-3"/>
          <w:sz w:val="22"/>
        </w:rPr>
        <w:t> </w:t>
      </w:r>
      <w:r>
        <w:rPr>
          <w:sz w:val="22"/>
        </w:rPr>
        <w:t>Nisy.</w:t>
      </w:r>
    </w:p>
    <w:p>
      <w:pPr>
        <w:pStyle w:val="ListParagraph"/>
        <w:numPr>
          <w:ilvl w:val="0"/>
          <w:numId w:val="1"/>
        </w:numPr>
        <w:tabs>
          <w:tab w:pos="1024" w:val="left" w:leader="none"/>
          <w:tab w:pos="1025" w:val="left" w:leader="none"/>
        </w:tabs>
        <w:spacing w:line="240" w:lineRule="auto" w:before="120" w:after="0"/>
        <w:ind w:left="1024" w:right="145" w:hanging="853"/>
        <w:jc w:val="both"/>
        <w:rPr>
          <w:sz w:val="22"/>
        </w:rPr>
      </w:pPr>
      <w:r>
        <w:rPr>
          <w:sz w:val="22"/>
        </w:rPr>
        <w:t>Opatření v případě zvláštní povodně provádět podle </w:t>
      </w:r>
      <w:r>
        <w:rPr>
          <w:b/>
          <w:sz w:val="22"/>
        </w:rPr>
        <w:t>Havarijního plánu </w:t>
      </w:r>
      <w:r>
        <w:rPr>
          <w:sz w:val="22"/>
        </w:rPr>
        <w:t>Libereckého kraje, zaměřit se na včasné varování a evakuaci obyvatelstva z ohroženého území zvláštní povodně - viz Koordinační výkres</w:t>
      </w:r>
      <w:r>
        <w:rPr>
          <w:spacing w:val="-9"/>
          <w:sz w:val="22"/>
        </w:rPr>
        <w:t> </w:t>
      </w:r>
      <w:r>
        <w:rPr>
          <w:sz w:val="22"/>
        </w:rPr>
        <w:t>(5).</w:t>
      </w:r>
    </w:p>
    <w:p>
      <w:pPr>
        <w:pStyle w:val="Heading2"/>
        <w:numPr>
          <w:ilvl w:val="2"/>
          <w:numId w:val="9"/>
        </w:numPr>
        <w:tabs>
          <w:tab w:pos="1024" w:val="left" w:leader="none"/>
          <w:tab w:pos="1025" w:val="left" w:leader="none"/>
        </w:tabs>
        <w:spacing w:line="240" w:lineRule="auto" w:before="181" w:after="0"/>
        <w:ind w:left="1024" w:right="0" w:hanging="853"/>
        <w:jc w:val="left"/>
      </w:pPr>
      <w:r>
        <w:rPr/>
        <w:t>ZÓNY HAVARIJNÍHO</w:t>
      </w:r>
      <w:r>
        <w:rPr>
          <w:spacing w:val="-3"/>
        </w:rPr>
        <w:t> </w:t>
      </w:r>
      <w:r>
        <w:rPr/>
        <w:t>PLÁNOVÁNÍ</w:t>
      </w:r>
    </w:p>
    <w:p>
      <w:pPr>
        <w:pStyle w:val="ListParagraph"/>
        <w:numPr>
          <w:ilvl w:val="0"/>
          <w:numId w:val="1"/>
        </w:numPr>
        <w:tabs>
          <w:tab w:pos="1024" w:val="left" w:leader="none"/>
          <w:tab w:pos="1025" w:val="left" w:leader="none"/>
        </w:tabs>
        <w:spacing w:line="240" w:lineRule="auto" w:before="120" w:after="0"/>
        <w:ind w:left="1024" w:right="0" w:hanging="853"/>
        <w:jc w:val="left"/>
        <w:rPr>
          <w:sz w:val="22"/>
        </w:rPr>
      </w:pPr>
      <w:r>
        <w:rPr>
          <w:sz w:val="22"/>
        </w:rPr>
        <w:t>V řešeném území nejsou stanoveny </w:t>
      </w:r>
      <w:r>
        <w:rPr>
          <w:b/>
          <w:sz w:val="22"/>
        </w:rPr>
        <w:t>zóny havarijního</w:t>
      </w:r>
      <w:r>
        <w:rPr>
          <w:b/>
          <w:spacing w:val="-12"/>
          <w:sz w:val="22"/>
        </w:rPr>
        <w:t> </w:t>
      </w:r>
      <w:r>
        <w:rPr>
          <w:b/>
          <w:sz w:val="22"/>
        </w:rPr>
        <w:t>plánování</w:t>
      </w:r>
      <w:r>
        <w:rPr>
          <w:sz w:val="22"/>
        </w:rPr>
        <w:t>.</w:t>
      </w:r>
    </w:p>
    <w:p>
      <w:pPr>
        <w:pStyle w:val="Heading2"/>
        <w:numPr>
          <w:ilvl w:val="2"/>
          <w:numId w:val="9"/>
        </w:numPr>
        <w:tabs>
          <w:tab w:pos="1024" w:val="left" w:leader="none"/>
          <w:tab w:pos="1026" w:val="left" w:leader="none"/>
        </w:tabs>
        <w:spacing w:line="240" w:lineRule="auto" w:before="180" w:after="0"/>
        <w:ind w:left="1025" w:right="0" w:hanging="853"/>
        <w:jc w:val="left"/>
      </w:pPr>
      <w:r>
        <w:rPr/>
        <w:t>UKRYTÍ OBYVATELSTVA V DŮSLEDKU MIMOŘÁDNÉ</w:t>
      </w:r>
      <w:r>
        <w:rPr>
          <w:spacing w:val="-4"/>
        </w:rPr>
        <w:t> </w:t>
      </w:r>
      <w:r>
        <w:rPr/>
        <w:t>UDÁLOSTI</w:t>
      </w:r>
    </w:p>
    <w:p>
      <w:pPr>
        <w:pStyle w:val="ListParagraph"/>
        <w:numPr>
          <w:ilvl w:val="0"/>
          <w:numId w:val="1"/>
        </w:numPr>
        <w:tabs>
          <w:tab w:pos="1024" w:val="left" w:leader="none"/>
          <w:tab w:pos="1025" w:val="left" w:leader="none"/>
        </w:tabs>
        <w:spacing w:line="240" w:lineRule="auto" w:before="122" w:after="0"/>
        <w:ind w:left="1024" w:right="147" w:hanging="852"/>
        <w:jc w:val="both"/>
        <w:rPr>
          <w:sz w:val="22"/>
        </w:rPr>
      </w:pPr>
      <w:r>
        <w:rPr>
          <w:sz w:val="22"/>
        </w:rPr>
        <w:t>V případě vzniku mimořádné události vyžadující ukrytí v mírové době využívat přirozené ochranné  vlastnosti  staveb  a  provádět  úpravy  proti  pronikání  nebezpečných  látek,   v období válečného stavu pro ukrytí obyvatelstva budovat improvizované</w:t>
      </w:r>
      <w:r>
        <w:rPr>
          <w:spacing w:val="-19"/>
          <w:sz w:val="22"/>
        </w:rPr>
        <w:t> </w:t>
      </w:r>
      <w:r>
        <w:rPr>
          <w:sz w:val="22"/>
        </w:rPr>
        <w:t>úkryty.</w:t>
      </w:r>
    </w:p>
    <w:p>
      <w:pPr>
        <w:pStyle w:val="Heading2"/>
        <w:numPr>
          <w:ilvl w:val="2"/>
          <w:numId w:val="9"/>
        </w:numPr>
        <w:tabs>
          <w:tab w:pos="1025" w:val="left" w:leader="none"/>
          <w:tab w:pos="1026" w:val="left" w:leader="none"/>
        </w:tabs>
        <w:spacing w:line="240" w:lineRule="auto" w:before="178" w:after="0"/>
        <w:ind w:left="1025" w:right="0" w:hanging="853"/>
        <w:jc w:val="left"/>
      </w:pPr>
      <w:r>
        <w:rPr/>
        <w:t>EVAKUACE OBYVATELSTVA A JEHO</w:t>
      </w:r>
      <w:r>
        <w:rPr>
          <w:spacing w:val="-15"/>
        </w:rPr>
        <w:t> </w:t>
      </w:r>
      <w:r>
        <w:rPr/>
        <w:t>UBYTOVÁNÍ</w:t>
      </w:r>
    </w:p>
    <w:p>
      <w:pPr>
        <w:pStyle w:val="ListParagraph"/>
        <w:numPr>
          <w:ilvl w:val="0"/>
          <w:numId w:val="1"/>
        </w:numPr>
        <w:tabs>
          <w:tab w:pos="1025" w:val="left" w:leader="none"/>
          <w:tab w:pos="1026" w:val="left" w:leader="none"/>
        </w:tabs>
        <w:spacing w:line="244" w:lineRule="auto" w:before="118" w:after="0"/>
        <w:ind w:left="1025" w:right="148" w:hanging="853"/>
        <w:jc w:val="left"/>
        <w:rPr>
          <w:sz w:val="22"/>
        </w:rPr>
      </w:pPr>
      <w:r>
        <w:rPr>
          <w:sz w:val="22"/>
        </w:rPr>
        <w:t>V případě naléhavé potřeby ke </w:t>
      </w:r>
      <w:r>
        <w:rPr>
          <w:b/>
          <w:sz w:val="22"/>
        </w:rPr>
        <w:t>krátkodobé evakuaci a ubytování </w:t>
      </w:r>
      <w:r>
        <w:rPr>
          <w:sz w:val="22"/>
        </w:rPr>
        <w:t>osob postižených mimořádnou událostí využít objekty, které jsou </w:t>
      </w:r>
      <w:r>
        <w:rPr>
          <w:spacing w:val="-3"/>
          <w:sz w:val="22"/>
        </w:rPr>
        <w:t>ve </w:t>
      </w:r>
      <w:r>
        <w:rPr>
          <w:sz w:val="22"/>
        </w:rPr>
        <w:t>správě</w:t>
      </w:r>
      <w:r>
        <w:rPr>
          <w:spacing w:val="-5"/>
          <w:sz w:val="22"/>
        </w:rPr>
        <w:t> </w:t>
      </w:r>
      <w:r>
        <w:rPr>
          <w:sz w:val="22"/>
        </w:rPr>
        <w:t>obce:</w:t>
      </w:r>
    </w:p>
    <w:p>
      <w:pPr>
        <w:pStyle w:val="ListParagraph"/>
        <w:numPr>
          <w:ilvl w:val="0"/>
          <w:numId w:val="2"/>
        </w:numPr>
        <w:tabs>
          <w:tab w:pos="1025" w:val="left" w:leader="none"/>
          <w:tab w:pos="1026" w:val="left" w:leader="none"/>
        </w:tabs>
        <w:spacing w:line="240" w:lineRule="auto" w:before="34" w:after="0"/>
        <w:ind w:left="1025" w:right="0" w:hanging="853"/>
        <w:jc w:val="left"/>
        <w:rPr>
          <w:sz w:val="22"/>
        </w:rPr>
      </w:pPr>
      <w:r>
        <w:rPr>
          <w:sz w:val="22"/>
        </w:rPr>
        <w:t>mateřské školy Chrastava,</w:t>
      </w:r>
      <w:r>
        <w:rPr>
          <w:spacing w:val="-3"/>
          <w:sz w:val="22"/>
        </w:rPr>
        <w:t> </w:t>
      </w:r>
      <w:r>
        <w:rPr>
          <w:sz w:val="22"/>
        </w:rPr>
        <w:t>Vítkov,</w:t>
      </w:r>
    </w:p>
    <w:p>
      <w:pPr>
        <w:pStyle w:val="ListParagraph"/>
        <w:numPr>
          <w:ilvl w:val="0"/>
          <w:numId w:val="2"/>
        </w:numPr>
        <w:tabs>
          <w:tab w:pos="1025" w:val="left" w:leader="none"/>
          <w:tab w:pos="1026" w:val="left" w:leader="none"/>
        </w:tabs>
        <w:spacing w:line="240" w:lineRule="auto" w:before="38" w:after="0"/>
        <w:ind w:left="1025" w:right="0" w:hanging="853"/>
        <w:jc w:val="left"/>
        <w:rPr>
          <w:sz w:val="22"/>
        </w:rPr>
      </w:pPr>
      <w:r>
        <w:rPr>
          <w:sz w:val="22"/>
        </w:rPr>
        <w:t>základní škola Chrastava, Vítkov, školní jídelna,</w:t>
      </w:r>
      <w:r>
        <w:rPr>
          <w:spacing w:val="-6"/>
          <w:sz w:val="22"/>
        </w:rPr>
        <w:t> </w:t>
      </w:r>
      <w:r>
        <w:rPr>
          <w:sz w:val="22"/>
        </w:rPr>
        <w:t>tělocvična,</w:t>
      </w:r>
    </w:p>
    <w:p>
      <w:pPr>
        <w:pStyle w:val="ListParagraph"/>
        <w:numPr>
          <w:ilvl w:val="0"/>
          <w:numId w:val="2"/>
        </w:numPr>
        <w:tabs>
          <w:tab w:pos="1025" w:val="left" w:leader="none"/>
          <w:tab w:pos="1026" w:val="left" w:leader="none"/>
        </w:tabs>
        <w:spacing w:line="240" w:lineRule="auto" w:before="39" w:after="0"/>
        <w:ind w:left="1025" w:right="0" w:hanging="853"/>
        <w:jc w:val="left"/>
        <w:rPr>
          <w:sz w:val="22"/>
        </w:rPr>
      </w:pPr>
      <w:r>
        <w:rPr>
          <w:sz w:val="22"/>
        </w:rPr>
        <w:t>sportovní hala, sportovní areál</w:t>
      </w:r>
      <w:r>
        <w:rPr>
          <w:spacing w:val="-6"/>
          <w:sz w:val="22"/>
        </w:rPr>
        <w:t> </w:t>
      </w:r>
      <w:r>
        <w:rPr>
          <w:sz w:val="22"/>
        </w:rPr>
        <w:t>Turpišova,</w:t>
      </w:r>
    </w:p>
    <w:p>
      <w:pPr>
        <w:pStyle w:val="ListParagraph"/>
        <w:numPr>
          <w:ilvl w:val="0"/>
          <w:numId w:val="2"/>
        </w:numPr>
        <w:tabs>
          <w:tab w:pos="1025" w:val="left" w:leader="none"/>
          <w:tab w:pos="1026" w:val="left" w:leader="none"/>
        </w:tabs>
        <w:spacing w:line="240" w:lineRule="auto" w:before="39" w:after="0"/>
        <w:ind w:left="1025" w:right="0" w:hanging="853"/>
        <w:jc w:val="left"/>
        <w:rPr>
          <w:sz w:val="22"/>
        </w:rPr>
      </w:pPr>
      <w:r>
        <w:rPr>
          <w:sz w:val="22"/>
        </w:rPr>
        <w:t>městský</w:t>
      </w:r>
      <w:r>
        <w:rPr>
          <w:spacing w:val="-3"/>
          <w:sz w:val="22"/>
        </w:rPr>
        <w:t> </w:t>
      </w:r>
      <w:r>
        <w:rPr>
          <w:sz w:val="22"/>
        </w:rPr>
        <w:t>úřad.</w:t>
      </w:r>
    </w:p>
    <w:p>
      <w:pPr>
        <w:spacing w:after="0" w:line="240" w:lineRule="auto"/>
        <w:jc w:val="left"/>
        <w:rPr>
          <w:sz w:val="22"/>
        </w:rPr>
        <w:sectPr>
          <w:pgSz w:w="11900" w:h="16840"/>
          <w:pgMar w:header="557" w:footer="582" w:top="760" w:bottom="780" w:left="960" w:right="980"/>
        </w:sectPr>
      </w:pPr>
    </w:p>
    <w:p>
      <w:pPr>
        <w:pStyle w:val="BodyText"/>
        <w:spacing w:before="4"/>
        <w:ind w:left="0" w:firstLine="0"/>
        <w:jc w:val="left"/>
      </w:pPr>
    </w:p>
    <w:p>
      <w:pPr>
        <w:pStyle w:val="Heading2"/>
        <w:numPr>
          <w:ilvl w:val="2"/>
          <w:numId w:val="9"/>
        </w:numPr>
        <w:tabs>
          <w:tab w:pos="1024" w:val="left" w:leader="none"/>
          <w:tab w:pos="1025" w:val="left" w:leader="none"/>
        </w:tabs>
        <w:spacing w:line="240" w:lineRule="auto" w:before="99" w:after="0"/>
        <w:ind w:left="1024" w:right="0" w:hanging="853"/>
        <w:jc w:val="left"/>
      </w:pPr>
      <w:r>
        <w:rPr/>
        <w:t>SKLADOVÁNÍ MATERIÁLU CO A HUMANITÁRNÍ</w:t>
      </w:r>
      <w:r>
        <w:rPr>
          <w:spacing w:val="-2"/>
        </w:rPr>
        <w:t> </w:t>
      </w:r>
      <w:r>
        <w:rPr/>
        <w:t>POMOCI</w:t>
      </w:r>
    </w:p>
    <w:p>
      <w:pPr>
        <w:pStyle w:val="ListParagraph"/>
        <w:numPr>
          <w:ilvl w:val="0"/>
          <w:numId w:val="1"/>
        </w:numPr>
        <w:tabs>
          <w:tab w:pos="1024" w:val="left" w:leader="none"/>
          <w:tab w:pos="1025" w:val="left" w:leader="none"/>
        </w:tabs>
        <w:spacing w:line="240" w:lineRule="auto" w:before="120" w:after="0"/>
        <w:ind w:left="1024" w:right="146" w:hanging="853"/>
        <w:jc w:val="both"/>
        <w:rPr>
          <w:sz w:val="22"/>
        </w:rPr>
      </w:pPr>
      <w:r>
        <w:rPr>
          <w:sz w:val="22"/>
        </w:rPr>
        <w:t>V řešeném území se nenachází </w:t>
      </w:r>
      <w:r>
        <w:rPr>
          <w:b/>
          <w:sz w:val="22"/>
        </w:rPr>
        <w:t>sklady CO a humanitární základny</w:t>
      </w:r>
      <w:r>
        <w:rPr>
          <w:sz w:val="22"/>
        </w:rPr>
        <w:t>, v případě potřeby pro skladování materiálu CO a humanitární pomoci v obci využít některý z obecních objektů.</w:t>
      </w:r>
    </w:p>
    <w:p>
      <w:pPr>
        <w:pStyle w:val="Heading2"/>
        <w:numPr>
          <w:ilvl w:val="2"/>
          <w:numId w:val="9"/>
        </w:numPr>
        <w:tabs>
          <w:tab w:pos="1024" w:val="left" w:leader="none"/>
          <w:tab w:pos="1025" w:val="left" w:leader="none"/>
        </w:tabs>
        <w:spacing w:line="240" w:lineRule="auto" w:before="180" w:after="0"/>
        <w:ind w:left="1024" w:right="1668" w:hanging="852"/>
        <w:jc w:val="left"/>
      </w:pPr>
      <w:r>
        <w:rPr/>
        <w:t>VYVEZENÍ A USKLADNĚNÍ NEBEZPEČNÝCH LÁTEK</w:t>
      </w:r>
      <w:r>
        <w:rPr>
          <w:spacing w:val="-10"/>
        </w:rPr>
        <w:t> </w:t>
      </w:r>
      <w:r>
        <w:rPr/>
        <w:t>MIMO ZASTAVĚNÁ ÚZEMÍ A ZASTAVITELNÉ</w:t>
      </w:r>
      <w:r>
        <w:rPr>
          <w:spacing w:val="-3"/>
        </w:rPr>
        <w:t> </w:t>
      </w:r>
      <w:r>
        <w:rPr/>
        <w:t>PLOCHY</w:t>
      </w:r>
    </w:p>
    <w:p>
      <w:pPr>
        <w:pStyle w:val="ListParagraph"/>
        <w:numPr>
          <w:ilvl w:val="0"/>
          <w:numId w:val="1"/>
        </w:numPr>
        <w:tabs>
          <w:tab w:pos="1024" w:val="left" w:leader="none"/>
          <w:tab w:pos="1025" w:val="left" w:leader="none"/>
        </w:tabs>
        <w:spacing w:line="240" w:lineRule="auto" w:before="122" w:after="0"/>
        <w:ind w:left="1024" w:right="145" w:hanging="853"/>
        <w:jc w:val="both"/>
        <w:rPr>
          <w:sz w:val="22"/>
        </w:rPr>
      </w:pPr>
      <w:r>
        <w:rPr>
          <w:sz w:val="22"/>
        </w:rPr>
        <w:t>Nepřipouštět jakoukoliv průmyslovou nebo zemědělskou činnost ohrožující životní prostředí, </w:t>
      </w:r>
      <w:r>
        <w:rPr>
          <w:b/>
          <w:sz w:val="22"/>
        </w:rPr>
        <w:t>nebezpečné látky </w:t>
      </w:r>
      <w:r>
        <w:rPr>
          <w:sz w:val="22"/>
        </w:rPr>
        <w:t>na území obce neprodukovat ani</w:t>
      </w:r>
      <w:r>
        <w:rPr>
          <w:spacing w:val="-16"/>
          <w:sz w:val="22"/>
        </w:rPr>
        <w:t> </w:t>
      </w:r>
      <w:r>
        <w:rPr>
          <w:sz w:val="22"/>
        </w:rPr>
        <w:t>neskladovat.</w:t>
      </w:r>
    </w:p>
    <w:p>
      <w:pPr>
        <w:pStyle w:val="Heading2"/>
        <w:numPr>
          <w:ilvl w:val="2"/>
          <w:numId w:val="9"/>
        </w:numPr>
        <w:tabs>
          <w:tab w:pos="1024" w:val="left" w:leader="none"/>
          <w:tab w:pos="1025" w:val="left" w:leader="none"/>
        </w:tabs>
        <w:spacing w:line="240" w:lineRule="auto" w:before="178" w:after="0"/>
        <w:ind w:left="1024" w:right="341" w:hanging="852"/>
        <w:jc w:val="left"/>
      </w:pPr>
      <w:r>
        <w:rPr/>
        <w:t>ZÁCHRANNÉ, LIKVIDAČNÍ A OBNOVOVACÍ PRÁCE PRO ODSTRANĚNÍ NEBO SNÍŽENÍ ŠKODLIVÝCH ÚČINKŮ</w:t>
      </w:r>
      <w:r>
        <w:rPr>
          <w:spacing w:val="-19"/>
        </w:rPr>
        <w:t> </w:t>
      </w:r>
      <w:r>
        <w:rPr/>
        <w:t>KONTAMINACE, VZNIKLÝCH PŘI MIMOŘÁDNÉ</w:t>
      </w:r>
      <w:r>
        <w:rPr>
          <w:spacing w:val="-4"/>
        </w:rPr>
        <w:t> </w:t>
      </w:r>
      <w:r>
        <w:rPr/>
        <w:t>UDÁLOSTI</w:t>
      </w:r>
    </w:p>
    <w:p>
      <w:pPr>
        <w:pStyle w:val="ListParagraph"/>
        <w:numPr>
          <w:ilvl w:val="0"/>
          <w:numId w:val="1"/>
        </w:numPr>
        <w:tabs>
          <w:tab w:pos="1024" w:val="left" w:leader="none"/>
          <w:tab w:pos="1025" w:val="left" w:leader="none"/>
        </w:tabs>
        <w:spacing w:line="251" w:lineRule="exact" w:before="123" w:after="0"/>
        <w:ind w:left="1024" w:right="0" w:hanging="853"/>
        <w:jc w:val="left"/>
        <w:rPr>
          <w:sz w:val="22"/>
        </w:rPr>
      </w:pPr>
      <w:r>
        <w:rPr>
          <w:sz w:val="22"/>
        </w:rPr>
        <w:t>Postup složek začleněných do integrovaného záchranného systému koordinovat</w:t>
      </w:r>
      <w:r>
        <w:rPr>
          <w:spacing w:val="27"/>
          <w:sz w:val="22"/>
        </w:rPr>
        <w:t> </w:t>
      </w:r>
      <w:r>
        <w:rPr>
          <w:sz w:val="22"/>
        </w:rPr>
        <w:t>pomocí</w:t>
      </w:r>
    </w:p>
    <w:p>
      <w:pPr>
        <w:spacing w:line="251" w:lineRule="exact" w:before="0"/>
        <w:ind w:left="1024" w:right="0" w:firstLine="0"/>
        <w:jc w:val="left"/>
        <w:rPr>
          <w:sz w:val="22"/>
        </w:rPr>
      </w:pPr>
      <w:r>
        <w:rPr>
          <w:b/>
          <w:sz w:val="22"/>
        </w:rPr>
        <w:t>HZS</w:t>
      </w:r>
      <w:r>
        <w:rPr>
          <w:sz w:val="22"/>
        </w:rPr>
        <w:t>.</w:t>
      </w:r>
    </w:p>
    <w:p>
      <w:pPr>
        <w:pStyle w:val="ListParagraph"/>
        <w:numPr>
          <w:ilvl w:val="0"/>
          <w:numId w:val="1"/>
        </w:numPr>
        <w:tabs>
          <w:tab w:pos="1024" w:val="left" w:leader="none"/>
          <w:tab w:pos="1025" w:val="left" w:leader="none"/>
        </w:tabs>
        <w:spacing w:line="240" w:lineRule="auto" w:before="121" w:after="0"/>
        <w:ind w:left="1024" w:right="0" w:hanging="853"/>
        <w:jc w:val="left"/>
        <w:rPr>
          <w:sz w:val="22"/>
        </w:rPr>
      </w:pPr>
      <w:r>
        <w:rPr>
          <w:sz w:val="22"/>
        </w:rPr>
        <w:t>Z územního hlediska nutno zachovat tyto </w:t>
      </w:r>
      <w:r>
        <w:rPr>
          <w:b/>
          <w:sz w:val="22"/>
        </w:rPr>
        <w:t>zdroje požární</w:t>
      </w:r>
      <w:r>
        <w:rPr>
          <w:b/>
          <w:spacing w:val="-8"/>
          <w:sz w:val="22"/>
        </w:rPr>
        <w:t> </w:t>
      </w:r>
      <w:r>
        <w:rPr>
          <w:b/>
          <w:sz w:val="22"/>
        </w:rPr>
        <w:t>vody</w:t>
      </w:r>
      <w:r>
        <w:rPr>
          <w:sz w:val="22"/>
        </w:rPr>
        <w:t>:</w:t>
      </w:r>
    </w:p>
    <w:p>
      <w:pPr>
        <w:pStyle w:val="ListParagraph"/>
        <w:numPr>
          <w:ilvl w:val="0"/>
          <w:numId w:val="2"/>
        </w:numPr>
        <w:tabs>
          <w:tab w:pos="1024" w:val="left" w:leader="none"/>
          <w:tab w:pos="1025" w:val="left" w:leader="none"/>
        </w:tabs>
        <w:spacing w:line="240" w:lineRule="auto" w:before="42" w:after="0"/>
        <w:ind w:left="1024" w:right="0" w:hanging="853"/>
        <w:jc w:val="left"/>
        <w:rPr>
          <w:sz w:val="22"/>
        </w:rPr>
      </w:pPr>
      <w:r>
        <w:rPr>
          <w:sz w:val="22"/>
        </w:rPr>
        <w:t>hydrantová síť veřejných</w:t>
      </w:r>
      <w:r>
        <w:rPr>
          <w:spacing w:val="4"/>
          <w:sz w:val="22"/>
        </w:rPr>
        <w:t> </w:t>
      </w:r>
      <w:r>
        <w:rPr>
          <w:sz w:val="22"/>
        </w:rPr>
        <w:t>vodovodů,</w:t>
      </w:r>
    </w:p>
    <w:p>
      <w:pPr>
        <w:pStyle w:val="ListParagraph"/>
        <w:numPr>
          <w:ilvl w:val="0"/>
          <w:numId w:val="2"/>
        </w:numPr>
        <w:tabs>
          <w:tab w:pos="1024" w:val="left" w:leader="none"/>
          <w:tab w:pos="1025" w:val="left" w:leader="none"/>
        </w:tabs>
        <w:spacing w:line="240" w:lineRule="auto" w:before="39" w:after="0"/>
        <w:ind w:left="1024" w:right="0" w:hanging="853"/>
        <w:jc w:val="left"/>
        <w:rPr>
          <w:sz w:val="22"/>
        </w:rPr>
      </w:pPr>
      <w:r>
        <w:rPr>
          <w:sz w:val="22"/>
        </w:rPr>
        <w:t>Lužická Nisa a Jeřice s možnými místy odběru pro těžkou požární</w:t>
      </w:r>
      <w:r>
        <w:rPr>
          <w:spacing w:val="-19"/>
          <w:sz w:val="22"/>
        </w:rPr>
        <w:t> </w:t>
      </w:r>
      <w:r>
        <w:rPr>
          <w:sz w:val="22"/>
        </w:rPr>
        <w:t>techniku,</w:t>
      </w:r>
    </w:p>
    <w:p>
      <w:pPr>
        <w:pStyle w:val="ListParagraph"/>
        <w:numPr>
          <w:ilvl w:val="0"/>
          <w:numId w:val="2"/>
        </w:numPr>
        <w:tabs>
          <w:tab w:pos="1024" w:val="left" w:leader="none"/>
          <w:tab w:pos="1025" w:val="left" w:leader="none"/>
        </w:tabs>
        <w:spacing w:line="240" w:lineRule="auto" w:before="39" w:after="0"/>
        <w:ind w:left="1024" w:right="0" w:hanging="853"/>
        <w:jc w:val="left"/>
        <w:rPr>
          <w:sz w:val="22"/>
        </w:rPr>
      </w:pPr>
      <w:r>
        <w:rPr>
          <w:sz w:val="22"/>
        </w:rPr>
        <w:t>vodní</w:t>
      </w:r>
      <w:r>
        <w:rPr>
          <w:spacing w:val="-4"/>
          <w:sz w:val="22"/>
        </w:rPr>
        <w:t> </w:t>
      </w:r>
      <w:r>
        <w:rPr>
          <w:sz w:val="22"/>
        </w:rPr>
        <w:t>nádrže.</w:t>
      </w:r>
    </w:p>
    <w:p>
      <w:pPr>
        <w:pStyle w:val="ListParagraph"/>
        <w:numPr>
          <w:ilvl w:val="0"/>
          <w:numId w:val="1"/>
        </w:numPr>
        <w:tabs>
          <w:tab w:pos="1024" w:val="left" w:leader="none"/>
          <w:tab w:pos="1025" w:val="left" w:leader="none"/>
        </w:tabs>
        <w:spacing w:line="244" w:lineRule="auto" w:before="116" w:after="0"/>
        <w:ind w:left="1024" w:right="148" w:hanging="853"/>
        <w:jc w:val="left"/>
        <w:rPr>
          <w:sz w:val="22"/>
        </w:rPr>
      </w:pPr>
      <w:r>
        <w:rPr>
          <w:sz w:val="22"/>
        </w:rPr>
        <w:t>Nakládání s </w:t>
      </w:r>
      <w:r>
        <w:rPr>
          <w:b/>
          <w:sz w:val="22"/>
        </w:rPr>
        <w:t>uhynulými zvířaty </w:t>
      </w:r>
      <w:r>
        <w:rPr>
          <w:sz w:val="22"/>
        </w:rPr>
        <w:t>řešit příslušnými útvary Státní veterinární správy ČR ve spolupráci s Veterinárním asanačním</w:t>
      </w:r>
      <w:r>
        <w:rPr>
          <w:spacing w:val="3"/>
          <w:sz w:val="22"/>
        </w:rPr>
        <w:t> </w:t>
      </w:r>
      <w:r>
        <w:rPr>
          <w:sz w:val="22"/>
        </w:rPr>
        <w:t>ústavem.</w:t>
      </w:r>
    </w:p>
    <w:p>
      <w:pPr>
        <w:pStyle w:val="ListParagraph"/>
        <w:numPr>
          <w:ilvl w:val="0"/>
          <w:numId w:val="1"/>
        </w:numPr>
        <w:tabs>
          <w:tab w:pos="1024" w:val="left" w:leader="none"/>
          <w:tab w:pos="1025" w:val="left" w:leader="none"/>
        </w:tabs>
        <w:spacing w:line="244" w:lineRule="auto" w:before="110" w:after="0"/>
        <w:ind w:left="1024" w:right="151" w:hanging="853"/>
        <w:jc w:val="left"/>
        <w:rPr>
          <w:sz w:val="22"/>
        </w:rPr>
      </w:pPr>
      <w:r>
        <w:rPr>
          <w:b/>
          <w:sz w:val="22"/>
        </w:rPr>
        <w:t>Povodňový odpad </w:t>
      </w:r>
      <w:r>
        <w:rPr>
          <w:sz w:val="22"/>
        </w:rPr>
        <w:t>shromažďovat na ploše ve sběrném dvoře. Jako záhraboviště využít p.p.č.255/3 na k.ú. Dolní Vítkov a p.p.č.433/2 na k.ú. Horní</w:t>
      </w:r>
      <w:r>
        <w:rPr>
          <w:spacing w:val="-18"/>
          <w:sz w:val="22"/>
        </w:rPr>
        <w:t> </w:t>
      </w:r>
      <w:r>
        <w:rPr>
          <w:sz w:val="22"/>
        </w:rPr>
        <w:t>Vítkov.</w:t>
      </w:r>
    </w:p>
    <w:p>
      <w:pPr>
        <w:pStyle w:val="ListParagraph"/>
        <w:numPr>
          <w:ilvl w:val="0"/>
          <w:numId w:val="1"/>
        </w:numPr>
        <w:tabs>
          <w:tab w:pos="1024" w:val="left" w:leader="none"/>
          <w:tab w:pos="1025" w:val="left" w:leader="none"/>
        </w:tabs>
        <w:spacing w:line="240" w:lineRule="auto" w:before="110" w:after="0"/>
        <w:ind w:left="1024" w:right="147" w:hanging="853"/>
        <w:jc w:val="left"/>
        <w:rPr>
          <w:sz w:val="22"/>
        </w:rPr>
      </w:pPr>
      <w:r>
        <w:rPr>
          <w:b/>
          <w:sz w:val="22"/>
        </w:rPr>
        <w:t>Materiál pro záchranné práce </w:t>
      </w:r>
      <w:r>
        <w:rPr>
          <w:sz w:val="22"/>
        </w:rPr>
        <w:t>jakož i dopravní prostředky a mechanismy zajistit pomocí místních firem ve spolupráci s městským</w:t>
      </w:r>
      <w:r>
        <w:rPr>
          <w:spacing w:val="-8"/>
          <w:sz w:val="22"/>
        </w:rPr>
        <w:t> </w:t>
      </w:r>
      <w:r>
        <w:rPr>
          <w:sz w:val="22"/>
        </w:rPr>
        <w:t>úřadem.</w:t>
      </w:r>
    </w:p>
    <w:p>
      <w:pPr>
        <w:pStyle w:val="Heading2"/>
        <w:numPr>
          <w:ilvl w:val="2"/>
          <w:numId w:val="9"/>
        </w:numPr>
        <w:tabs>
          <w:tab w:pos="1024" w:val="left" w:leader="none"/>
          <w:tab w:pos="1025" w:val="left" w:leader="none"/>
        </w:tabs>
        <w:spacing w:line="240" w:lineRule="auto" w:before="182" w:after="0"/>
        <w:ind w:left="1024" w:right="0" w:hanging="853"/>
        <w:jc w:val="left"/>
      </w:pPr>
      <w:r>
        <w:rPr/>
        <w:t>OCHRANA PŘED VLIVY NEBEZPEČNÝCH</w:t>
      </w:r>
      <w:r>
        <w:rPr>
          <w:spacing w:val="-7"/>
        </w:rPr>
        <w:t> </w:t>
      </w:r>
      <w:r>
        <w:rPr/>
        <w:t>LÁTEK</w:t>
      </w:r>
    </w:p>
    <w:p>
      <w:pPr>
        <w:pStyle w:val="ListParagraph"/>
        <w:numPr>
          <w:ilvl w:val="0"/>
          <w:numId w:val="1"/>
        </w:numPr>
        <w:tabs>
          <w:tab w:pos="1024" w:val="left" w:leader="none"/>
          <w:tab w:pos="1025" w:val="left" w:leader="none"/>
        </w:tabs>
        <w:spacing w:line="240" w:lineRule="auto" w:before="117" w:after="0"/>
        <w:ind w:left="1024" w:right="0" w:hanging="853"/>
        <w:jc w:val="left"/>
        <w:rPr>
          <w:sz w:val="22"/>
        </w:rPr>
      </w:pPr>
      <w:r>
        <w:rPr>
          <w:sz w:val="22"/>
        </w:rPr>
        <w:t>Na území obce </w:t>
      </w:r>
      <w:r>
        <w:rPr>
          <w:b/>
          <w:sz w:val="22"/>
        </w:rPr>
        <w:t>neumisťovat </w:t>
      </w:r>
      <w:r>
        <w:rPr>
          <w:sz w:val="22"/>
        </w:rPr>
        <w:t>sklady ohrožujících nebezpečných</w:t>
      </w:r>
      <w:r>
        <w:rPr>
          <w:spacing w:val="-7"/>
          <w:sz w:val="22"/>
        </w:rPr>
        <w:t> </w:t>
      </w:r>
      <w:r>
        <w:rPr>
          <w:sz w:val="22"/>
        </w:rPr>
        <w:t>látek.</w:t>
      </w:r>
    </w:p>
    <w:p>
      <w:pPr>
        <w:pStyle w:val="Heading2"/>
        <w:numPr>
          <w:ilvl w:val="2"/>
          <w:numId w:val="9"/>
        </w:numPr>
        <w:tabs>
          <w:tab w:pos="1024" w:val="left" w:leader="none"/>
          <w:tab w:pos="1026" w:val="left" w:leader="none"/>
        </w:tabs>
        <w:spacing w:line="240" w:lineRule="auto" w:before="183" w:after="0"/>
        <w:ind w:left="1025" w:right="0" w:hanging="853"/>
        <w:jc w:val="left"/>
      </w:pPr>
      <w:r>
        <w:rPr/>
        <w:t>NOUZOVÉ ZÁSOBOVÁNÍ OBYVATELSTVA VODOU A</w:t>
      </w:r>
      <w:r>
        <w:rPr>
          <w:spacing w:val="-10"/>
        </w:rPr>
        <w:t> </w:t>
      </w:r>
      <w:r>
        <w:rPr/>
        <w:t>ELEKTŘINOU</w:t>
      </w:r>
    </w:p>
    <w:p>
      <w:pPr>
        <w:pStyle w:val="ListParagraph"/>
        <w:numPr>
          <w:ilvl w:val="0"/>
          <w:numId w:val="1"/>
        </w:numPr>
        <w:tabs>
          <w:tab w:pos="1024" w:val="left" w:leader="none"/>
          <w:tab w:pos="1025" w:val="left" w:leader="none"/>
        </w:tabs>
        <w:spacing w:line="242" w:lineRule="auto" w:before="117" w:after="0"/>
        <w:ind w:left="1024" w:right="142" w:hanging="853"/>
        <w:jc w:val="both"/>
        <w:rPr>
          <w:sz w:val="22"/>
        </w:rPr>
      </w:pPr>
      <w:r>
        <w:rPr>
          <w:sz w:val="22"/>
        </w:rPr>
        <w:t>Zásobování </w:t>
      </w:r>
      <w:r>
        <w:rPr>
          <w:b/>
          <w:sz w:val="22"/>
        </w:rPr>
        <w:t>požární vodou </w:t>
      </w:r>
      <w:r>
        <w:rPr>
          <w:sz w:val="22"/>
        </w:rPr>
        <w:t>zabezpečovat minimálně v rozsahu požadovaném platnými předpisy o požární ochraně (např. ČSN 73 0873), pozemní komunikace v řešeném území navrhovat tak, aby umožnily zásah těžkou mobilní požární</w:t>
      </w:r>
      <w:r>
        <w:rPr>
          <w:spacing w:val="-15"/>
          <w:sz w:val="22"/>
        </w:rPr>
        <w:t> </w:t>
      </w:r>
      <w:r>
        <w:rPr>
          <w:sz w:val="22"/>
        </w:rPr>
        <w:t>technikou.</w:t>
      </w:r>
    </w:p>
    <w:p>
      <w:pPr>
        <w:pStyle w:val="ListParagraph"/>
        <w:numPr>
          <w:ilvl w:val="0"/>
          <w:numId w:val="1"/>
        </w:numPr>
        <w:tabs>
          <w:tab w:pos="1024" w:val="left" w:leader="none"/>
          <w:tab w:pos="1025" w:val="left" w:leader="none"/>
        </w:tabs>
        <w:spacing w:line="240" w:lineRule="auto" w:before="115" w:after="0"/>
        <w:ind w:left="1024" w:right="145" w:hanging="853"/>
        <w:jc w:val="both"/>
        <w:rPr>
          <w:sz w:val="22"/>
        </w:rPr>
      </w:pPr>
      <w:r>
        <w:rPr>
          <w:sz w:val="22"/>
        </w:rPr>
        <w:t>Nouzové zásobování </w:t>
      </w:r>
      <w:r>
        <w:rPr>
          <w:b/>
          <w:sz w:val="22"/>
        </w:rPr>
        <w:t>pitnou vodou </w:t>
      </w:r>
      <w:r>
        <w:rPr>
          <w:sz w:val="22"/>
        </w:rPr>
        <w:t>zajišťovat rozvozem pitné vody v množství maximálně 15 l/den.obyvatele cisternami ze zdroje Machnín resp. balené vody, pro nouzové zásobení využívat i domovní studny, pokud v nich bude zdravotně nezávadná voda, a to v omezené</w:t>
      </w:r>
      <w:r>
        <w:rPr>
          <w:spacing w:val="-5"/>
          <w:sz w:val="22"/>
        </w:rPr>
        <w:t> </w:t>
      </w:r>
      <w:r>
        <w:rPr>
          <w:sz w:val="22"/>
        </w:rPr>
        <w:t>kapacitě.</w:t>
      </w:r>
    </w:p>
    <w:p>
      <w:pPr>
        <w:pStyle w:val="ListParagraph"/>
        <w:numPr>
          <w:ilvl w:val="0"/>
          <w:numId w:val="1"/>
        </w:numPr>
        <w:tabs>
          <w:tab w:pos="1024" w:val="left" w:leader="none"/>
          <w:tab w:pos="1025" w:val="left" w:leader="none"/>
        </w:tabs>
        <w:spacing w:line="242" w:lineRule="auto" w:before="118" w:after="0"/>
        <w:ind w:left="1024" w:right="146" w:hanging="853"/>
        <w:jc w:val="both"/>
        <w:rPr>
          <w:sz w:val="22"/>
        </w:rPr>
      </w:pPr>
      <w:r>
        <w:rPr>
          <w:sz w:val="22"/>
        </w:rPr>
        <w:t>Nouzové zásobování </w:t>
      </w:r>
      <w:r>
        <w:rPr>
          <w:b/>
          <w:sz w:val="22"/>
        </w:rPr>
        <w:t>užitkovou vodou </w:t>
      </w:r>
      <w:r>
        <w:rPr>
          <w:sz w:val="22"/>
        </w:rPr>
        <w:t>řešit dle havarijní situace odběrem z veřejného vodovodu, soukromého vodovodu nebo domovních studní, při využívání zdrojů pro zásobení užitkovou vodou postupovat podle pokynů územně příslušného</w:t>
      </w:r>
      <w:r>
        <w:rPr>
          <w:spacing w:val="-18"/>
          <w:sz w:val="22"/>
        </w:rPr>
        <w:t> </w:t>
      </w:r>
      <w:r>
        <w:rPr>
          <w:sz w:val="22"/>
        </w:rPr>
        <w:t>hygienika.</w:t>
      </w:r>
    </w:p>
    <w:p>
      <w:pPr>
        <w:pStyle w:val="ListParagraph"/>
        <w:numPr>
          <w:ilvl w:val="0"/>
          <w:numId w:val="1"/>
        </w:numPr>
        <w:tabs>
          <w:tab w:pos="1024" w:val="left" w:leader="none"/>
          <w:tab w:pos="1025" w:val="left" w:leader="none"/>
        </w:tabs>
        <w:spacing w:line="244" w:lineRule="auto" w:before="112" w:after="0"/>
        <w:ind w:left="1024" w:right="149" w:hanging="853"/>
        <w:jc w:val="both"/>
        <w:rPr>
          <w:sz w:val="22"/>
        </w:rPr>
      </w:pPr>
      <w:r>
        <w:rPr>
          <w:sz w:val="22"/>
        </w:rPr>
        <w:t>Nouzové zásobování obyvatelstva </w:t>
      </w:r>
      <w:r>
        <w:rPr>
          <w:b/>
          <w:sz w:val="22"/>
        </w:rPr>
        <w:t>elektrickou energií </w:t>
      </w:r>
      <w:r>
        <w:rPr>
          <w:sz w:val="22"/>
        </w:rPr>
        <w:t>řešit v souladu s provozním řádem správce</w:t>
      </w:r>
      <w:r>
        <w:rPr>
          <w:spacing w:val="-1"/>
          <w:sz w:val="22"/>
        </w:rPr>
        <w:t> </w:t>
      </w:r>
      <w:r>
        <w:rPr>
          <w:sz w:val="22"/>
        </w:rPr>
        <w:t>sítě.</w:t>
      </w:r>
    </w:p>
    <w:p>
      <w:pPr>
        <w:spacing w:after="0" w:line="244" w:lineRule="auto"/>
        <w:jc w:val="both"/>
        <w:rPr>
          <w:sz w:val="22"/>
        </w:rPr>
        <w:sectPr>
          <w:pgSz w:w="11900" w:h="16840"/>
          <w:pgMar w:header="557" w:footer="582" w:top="760" w:bottom="780" w:left="960" w:right="980"/>
        </w:sectPr>
      </w:pPr>
    </w:p>
    <w:p>
      <w:pPr>
        <w:pStyle w:val="BodyText"/>
        <w:ind w:left="0" w:firstLine="0"/>
        <w:jc w:val="left"/>
        <w:rPr>
          <w:sz w:val="20"/>
        </w:rPr>
      </w:pPr>
    </w:p>
    <w:p>
      <w:pPr>
        <w:pStyle w:val="BodyText"/>
        <w:ind w:left="0" w:firstLine="0"/>
        <w:jc w:val="left"/>
        <w:rPr>
          <w:sz w:val="20"/>
        </w:rPr>
      </w:pPr>
    </w:p>
    <w:p>
      <w:pPr>
        <w:pStyle w:val="BodyText"/>
        <w:spacing w:before="2"/>
        <w:ind w:left="0" w:firstLine="0"/>
        <w:jc w:val="left"/>
        <w:rPr>
          <w:sz w:val="12"/>
        </w:rPr>
      </w:pPr>
    </w:p>
    <w:p>
      <w:pPr>
        <w:pStyle w:val="BodyText"/>
        <w:ind w:left="144" w:firstLine="0"/>
        <w:jc w:val="left"/>
        <w:rPr>
          <w:sz w:val="20"/>
        </w:rPr>
      </w:pPr>
      <w:r>
        <w:rPr>
          <w:sz w:val="20"/>
        </w:rPr>
        <w:pict>
          <v:shape style="width:484.7pt;height:15pt;mso-position-horizontal-relative:char;mso-position-vertical-relative:line" type="#_x0000_t202" filled="true" fillcolor="#32cccc" stroked="false">
            <w10:anchorlock/>
            <v:textbox inset="0,0,0,0">
              <w:txbxContent>
                <w:p>
                  <w:pPr>
                    <w:tabs>
                      <w:tab w:pos="880" w:val="left" w:leader="none"/>
                    </w:tabs>
                    <w:spacing w:line="295" w:lineRule="exact" w:before="0"/>
                    <w:ind w:left="28" w:right="0" w:firstLine="0"/>
                    <w:jc w:val="left"/>
                    <w:rPr>
                      <w:b/>
                      <w:sz w:val="26"/>
                    </w:rPr>
                  </w:pPr>
                  <w:r>
                    <w:rPr>
                      <w:b/>
                      <w:sz w:val="26"/>
                    </w:rPr>
                    <w:t>E</w:t>
                    <w:tab/>
                    <w:t>KONCEPCE USPOŘÁDÁNÍ KRAJINY</w:t>
                  </w:r>
                </w:p>
              </w:txbxContent>
            </v:textbox>
            <v:fill type="solid"/>
          </v:shape>
        </w:pict>
      </w:r>
      <w:r>
        <w:rPr>
          <w:sz w:val="20"/>
        </w:rPr>
      </w:r>
    </w:p>
    <w:p>
      <w:pPr>
        <w:pStyle w:val="BodyText"/>
        <w:ind w:left="0" w:firstLine="0"/>
        <w:jc w:val="left"/>
        <w:rPr>
          <w:sz w:val="18"/>
        </w:rPr>
      </w:pPr>
      <w:r>
        <w:rPr/>
        <w:pict>
          <v:group style="position:absolute;margin-left:55.199997pt;margin-top:12.320121pt;width:484.7pt;height:30.05pt;mso-position-horizontal-relative:page;mso-position-vertical-relative:paragraph;z-index:-15717888;mso-wrap-distance-left:0;mso-wrap-distance-right:0" coordorigin="1104,246" coordsize="9694,601">
            <v:shape style="position:absolute;left:1104;top:249;width:9694;height:598" coordorigin="1104,249" coordsize="9694,598" path="m10798,249l1104,249,1104,547,1104,847,10798,847,10798,547,10798,249xe" filled="true" fillcolor="#ccffff" stroked="false">
              <v:path arrowok="t"/>
              <v:fill type="solid"/>
            </v:shape>
            <v:shape style="position:absolute;left:1132;top:246;width:409;height:300" type="#_x0000_t202" filled="false" stroked="false">
              <v:textbox inset="0,0,0,0">
                <w:txbxContent>
                  <w:p>
                    <w:pPr>
                      <w:spacing w:line="298" w:lineRule="exact" w:before="0"/>
                      <w:ind w:left="0" w:right="0" w:firstLine="0"/>
                      <w:jc w:val="left"/>
                      <w:rPr>
                        <w:b/>
                        <w:sz w:val="26"/>
                      </w:rPr>
                    </w:pPr>
                    <w:r>
                      <w:rPr>
                        <w:b/>
                        <w:sz w:val="26"/>
                      </w:rPr>
                      <w:t>E.1</w:t>
                    </w:r>
                  </w:p>
                </w:txbxContent>
              </v:textbox>
              <w10:wrap type="none"/>
            </v:shape>
            <v:shape style="position:absolute;left:1984;top:246;width:8804;height:597" type="#_x0000_t202" filled="false" stroked="false">
              <v:textbox inset="0,0,0,0">
                <w:txbxContent>
                  <w:p>
                    <w:pPr>
                      <w:spacing w:before="0"/>
                      <w:ind w:left="0" w:right="0" w:firstLine="0"/>
                      <w:jc w:val="left"/>
                      <w:rPr>
                        <w:b/>
                        <w:sz w:val="26"/>
                      </w:rPr>
                    </w:pPr>
                    <w:r>
                      <w:rPr>
                        <w:b/>
                        <w:sz w:val="26"/>
                      </w:rPr>
                      <w:t>NÁVRH PODMÍNEK PRO VYUŽITÍ PLOCH KRAJINY, NÁVRH PLOCH ZMĚN V KRAJINĚ</w:t>
                    </w:r>
                  </w:p>
                </w:txbxContent>
              </v:textbox>
              <w10:wrap type="none"/>
            </v:shape>
            <w10:wrap type="topAndBottom"/>
          </v:group>
        </w:pict>
      </w:r>
    </w:p>
    <w:p>
      <w:pPr>
        <w:pStyle w:val="ListParagraph"/>
        <w:numPr>
          <w:ilvl w:val="0"/>
          <w:numId w:val="1"/>
        </w:numPr>
        <w:tabs>
          <w:tab w:pos="1024" w:val="left" w:leader="none"/>
          <w:tab w:pos="1025" w:val="left" w:leader="none"/>
        </w:tabs>
        <w:spacing w:line="240" w:lineRule="auto" w:before="86" w:after="0"/>
        <w:ind w:left="1024" w:right="142" w:hanging="853"/>
        <w:jc w:val="both"/>
        <w:rPr>
          <w:sz w:val="22"/>
        </w:rPr>
      </w:pPr>
      <w:r>
        <w:rPr>
          <w:sz w:val="22"/>
        </w:rPr>
        <w:t>Koncepci uspořádání krajiny považovat za </w:t>
      </w:r>
      <w:r>
        <w:rPr>
          <w:b/>
          <w:sz w:val="22"/>
        </w:rPr>
        <w:t>nedílnou součást urbanistické koncepce </w:t>
      </w:r>
      <w:r>
        <w:rPr>
          <w:sz w:val="22"/>
        </w:rPr>
        <w:t>města s důrazem na územní stabilizaci nezastavěných ploch, návrh nezastavitelných ploch (ploch změn v krajině), a stanovení podmínek jejich využití, koncepce uspořádání krajiny je stanovena v Hlavním výkresu</w:t>
      </w:r>
      <w:r>
        <w:rPr>
          <w:spacing w:val="-7"/>
          <w:sz w:val="22"/>
        </w:rPr>
        <w:t> </w:t>
      </w:r>
      <w:r>
        <w:rPr>
          <w:sz w:val="22"/>
        </w:rPr>
        <w:t>(2).</w:t>
      </w:r>
    </w:p>
    <w:p>
      <w:pPr>
        <w:pStyle w:val="ListParagraph"/>
        <w:numPr>
          <w:ilvl w:val="0"/>
          <w:numId w:val="1"/>
        </w:numPr>
        <w:tabs>
          <w:tab w:pos="1024" w:val="left" w:leader="none"/>
          <w:tab w:pos="1025" w:val="left" w:leader="none"/>
        </w:tabs>
        <w:spacing w:line="240" w:lineRule="auto" w:before="121" w:after="0"/>
        <w:ind w:left="1024" w:right="144" w:hanging="852"/>
        <w:jc w:val="both"/>
        <w:rPr>
          <w:sz w:val="22"/>
        </w:rPr>
      </w:pPr>
      <w:r>
        <w:rPr>
          <w:sz w:val="22"/>
        </w:rPr>
        <w:t>Navrženou koncepci krajiny řešeného území realizovat v přímé návaznosti na zástavbu urbanizovaného území města, přičemž základní uspořádání a charakteristické znaky krajiny řešeného území </w:t>
      </w:r>
      <w:r>
        <w:rPr>
          <w:b/>
          <w:sz w:val="22"/>
        </w:rPr>
        <w:t>nebudou návrhy urbanistického řešení podstatně</w:t>
      </w:r>
      <w:r>
        <w:rPr>
          <w:b/>
          <w:spacing w:val="-32"/>
          <w:sz w:val="22"/>
        </w:rPr>
        <w:t> </w:t>
      </w:r>
      <w:r>
        <w:rPr>
          <w:b/>
          <w:sz w:val="22"/>
        </w:rPr>
        <w:t>měněny</w:t>
      </w:r>
      <w:r>
        <w:rPr>
          <w:sz w:val="22"/>
        </w:rPr>
        <w:t>.</w:t>
      </w:r>
    </w:p>
    <w:p>
      <w:pPr>
        <w:pStyle w:val="ListParagraph"/>
        <w:numPr>
          <w:ilvl w:val="0"/>
          <w:numId w:val="1"/>
        </w:numPr>
        <w:tabs>
          <w:tab w:pos="1024" w:val="left" w:leader="none"/>
          <w:tab w:pos="1025" w:val="left" w:leader="none"/>
        </w:tabs>
        <w:spacing w:line="240" w:lineRule="auto" w:before="119" w:after="0"/>
        <w:ind w:left="1024" w:right="142" w:hanging="853"/>
        <w:jc w:val="both"/>
        <w:rPr>
          <w:sz w:val="22"/>
        </w:rPr>
      </w:pPr>
      <w:r>
        <w:rPr>
          <w:sz w:val="22"/>
        </w:rPr>
        <w:t>Pro stanovení zásad využívání zemědělských pozemků se </w:t>
      </w:r>
      <w:r>
        <w:rPr>
          <w:b/>
          <w:sz w:val="22"/>
        </w:rPr>
        <w:t>vymezují plochy </w:t>
      </w:r>
      <w:r>
        <w:rPr>
          <w:sz w:val="22"/>
        </w:rPr>
        <w:t>zemědělské (K), pro stanovení zásad využívání PUPFL se vymezují plochy lesní (L), pro zabezpečení zájmů ochrany přírody se vymezují plochy přírodní lesní (N) / plochy přírodní nelesní (N). V hospodaření na těchto pozemcích upřednostňovat činnosti směřující k ochraně přírody a údržbě krajiny. Stabilizovat a rozvíjet systém vodních toků a nádrží v rámci ploch vodních a vodohospodářských</w:t>
      </w:r>
      <w:r>
        <w:rPr>
          <w:spacing w:val="-3"/>
          <w:sz w:val="22"/>
        </w:rPr>
        <w:t> </w:t>
      </w:r>
      <w:r>
        <w:rPr>
          <w:sz w:val="22"/>
        </w:rPr>
        <w:t>(V).</w:t>
      </w:r>
    </w:p>
    <w:p>
      <w:pPr>
        <w:tabs>
          <w:tab w:pos="1024" w:val="left" w:leader="none"/>
        </w:tabs>
        <w:spacing w:before="118" w:after="6"/>
        <w:ind w:left="172" w:right="0" w:firstLine="0"/>
        <w:jc w:val="left"/>
        <w:rPr>
          <w:b/>
          <w:sz w:val="18"/>
        </w:rPr>
      </w:pPr>
      <w:r>
        <w:rPr>
          <w:b/>
          <w:sz w:val="18"/>
        </w:rPr>
        <w:t>Tab.:</w:t>
        <w:tab/>
        <w:t>Návrh nezastavitelných ploch – změn v</w:t>
      </w:r>
      <w:r>
        <w:rPr>
          <w:b/>
          <w:spacing w:val="-3"/>
          <w:sz w:val="18"/>
        </w:rPr>
        <w:t> </w:t>
      </w:r>
      <w:r>
        <w:rPr>
          <w:b/>
          <w:sz w:val="18"/>
        </w:rPr>
        <w:t>krajině</w:t>
      </w:r>
    </w:p>
    <w:tbl>
      <w:tblPr>
        <w:tblW w:w="0" w:type="auto"/>
        <w:jc w:val="left"/>
        <w:tblInd w:w="1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8"/>
        <w:gridCol w:w="4678"/>
        <w:gridCol w:w="852"/>
        <w:gridCol w:w="1699"/>
      </w:tblGrid>
      <w:tr>
        <w:trPr>
          <w:trHeight w:val="414" w:hRule="atLeast"/>
        </w:trPr>
        <w:tc>
          <w:tcPr>
            <w:tcW w:w="1558" w:type="dxa"/>
            <w:shd w:val="clear" w:color="auto" w:fill="CCFFFF"/>
          </w:tcPr>
          <w:p>
            <w:pPr>
              <w:pStyle w:val="TableParagraph"/>
              <w:spacing w:line="206" w:lineRule="exact"/>
              <w:ind w:left="28" w:right="129"/>
              <w:rPr>
                <w:b/>
                <w:sz w:val="18"/>
              </w:rPr>
            </w:pPr>
            <w:r>
              <w:rPr>
                <w:b/>
                <w:sz w:val="18"/>
              </w:rPr>
              <w:t>sektor/plocha/ funkce/regulace</w:t>
            </w:r>
          </w:p>
        </w:tc>
        <w:tc>
          <w:tcPr>
            <w:tcW w:w="4678" w:type="dxa"/>
            <w:shd w:val="clear" w:color="auto" w:fill="CCFFFF"/>
          </w:tcPr>
          <w:p>
            <w:pPr>
              <w:pStyle w:val="TableParagraph"/>
              <w:spacing w:line="204" w:lineRule="exact"/>
              <w:ind w:left="28"/>
              <w:rPr>
                <w:b/>
                <w:sz w:val="18"/>
              </w:rPr>
            </w:pPr>
            <w:r>
              <w:rPr>
                <w:b/>
                <w:sz w:val="18"/>
              </w:rPr>
              <w:t>umístění / účel</w:t>
            </w:r>
          </w:p>
        </w:tc>
        <w:tc>
          <w:tcPr>
            <w:tcW w:w="852" w:type="dxa"/>
            <w:shd w:val="clear" w:color="auto" w:fill="CCFFFF"/>
          </w:tcPr>
          <w:p>
            <w:pPr>
              <w:pStyle w:val="TableParagraph"/>
              <w:spacing w:line="204" w:lineRule="exact"/>
              <w:ind w:left="27"/>
              <w:rPr>
                <w:b/>
                <w:sz w:val="18"/>
              </w:rPr>
            </w:pPr>
            <w:r>
              <w:rPr>
                <w:b/>
                <w:sz w:val="18"/>
              </w:rPr>
              <w:t>Výměra</w:t>
            </w:r>
          </w:p>
        </w:tc>
        <w:tc>
          <w:tcPr>
            <w:tcW w:w="1699" w:type="dxa"/>
            <w:shd w:val="clear" w:color="auto" w:fill="CCFFFF"/>
          </w:tcPr>
          <w:p>
            <w:pPr>
              <w:pStyle w:val="TableParagraph"/>
              <w:spacing w:line="204" w:lineRule="exact"/>
              <w:ind w:left="27"/>
              <w:rPr>
                <w:b/>
                <w:sz w:val="18"/>
              </w:rPr>
            </w:pPr>
            <w:r>
              <w:rPr>
                <w:b/>
                <w:sz w:val="18"/>
              </w:rPr>
              <w:t>podmínky</w:t>
            </w:r>
          </w:p>
        </w:tc>
      </w:tr>
      <w:tr>
        <w:trPr>
          <w:trHeight w:val="205" w:hRule="atLeast"/>
        </w:trPr>
        <w:tc>
          <w:tcPr>
            <w:tcW w:w="7088" w:type="dxa"/>
            <w:gridSpan w:val="3"/>
            <w:shd w:val="clear" w:color="auto" w:fill="DADADA"/>
          </w:tcPr>
          <w:p>
            <w:pPr>
              <w:pStyle w:val="TableParagraph"/>
              <w:spacing w:line="186" w:lineRule="exact"/>
              <w:ind w:left="28"/>
              <w:rPr>
                <w:b/>
                <w:sz w:val="18"/>
              </w:rPr>
            </w:pPr>
            <w:r>
              <w:rPr>
                <w:b/>
                <w:sz w:val="18"/>
              </w:rPr>
              <w:t>k.ú. Chrastava I</w:t>
            </w:r>
          </w:p>
        </w:tc>
        <w:tc>
          <w:tcPr>
            <w:tcW w:w="1699" w:type="dxa"/>
            <w:shd w:val="clear" w:color="auto" w:fill="DADADA"/>
          </w:tcPr>
          <w:p>
            <w:pPr>
              <w:pStyle w:val="TableParagraph"/>
              <w:ind w:left="0"/>
              <w:rPr>
                <w:rFonts w:ascii="Times New Roman"/>
                <w:sz w:val="14"/>
              </w:rPr>
            </w:pPr>
          </w:p>
        </w:tc>
      </w:tr>
      <w:tr>
        <w:trPr>
          <w:trHeight w:val="414" w:hRule="atLeast"/>
        </w:trPr>
        <w:tc>
          <w:tcPr>
            <w:tcW w:w="1558" w:type="dxa"/>
            <w:tcBorders>
              <w:left w:val="single" w:sz="2" w:space="0" w:color="000000"/>
              <w:bottom w:val="single" w:sz="2" w:space="0" w:color="000000"/>
              <w:right w:val="single" w:sz="2" w:space="0" w:color="000000"/>
            </w:tcBorders>
          </w:tcPr>
          <w:p>
            <w:pPr>
              <w:pStyle w:val="TableParagraph"/>
              <w:spacing w:before="1"/>
              <w:ind w:left="88"/>
              <w:rPr>
                <w:sz w:val="18"/>
              </w:rPr>
            </w:pPr>
            <w:r>
              <w:rPr>
                <w:sz w:val="18"/>
              </w:rPr>
              <w:t>34.N</w:t>
            </w:r>
          </w:p>
        </w:tc>
        <w:tc>
          <w:tcPr>
            <w:tcW w:w="4678" w:type="dxa"/>
            <w:tcBorders>
              <w:left w:val="single" w:sz="2" w:space="0" w:color="000000"/>
              <w:bottom w:val="single" w:sz="2" w:space="0" w:color="000000"/>
              <w:right w:val="single" w:sz="2" w:space="0" w:color="000000"/>
            </w:tcBorders>
          </w:tcPr>
          <w:p>
            <w:pPr>
              <w:pStyle w:val="TableParagraph"/>
              <w:spacing w:line="206" w:lineRule="exact" w:before="5"/>
              <w:ind w:left="88" w:right="132"/>
              <w:rPr>
                <w:sz w:val="18"/>
              </w:rPr>
            </w:pPr>
            <w:r>
              <w:rPr>
                <w:sz w:val="18"/>
              </w:rPr>
              <w:t>pod Ovčí horou - převod do PUPFL - součást funkčního BC 506.</w:t>
            </w:r>
          </w:p>
        </w:tc>
        <w:tc>
          <w:tcPr>
            <w:tcW w:w="852" w:type="dxa"/>
            <w:tcBorders>
              <w:left w:val="single" w:sz="2" w:space="0" w:color="000000"/>
              <w:bottom w:val="single" w:sz="2" w:space="0" w:color="000000"/>
              <w:right w:val="single" w:sz="2" w:space="0" w:color="000000"/>
            </w:tcBorders>
          </w:tcPr>
          <w:p>
            <w:pPr>
              <w:pStyle w:val="TableParagraph"/>
              <w:ind w:left="0"/>
              <w:rPr>
                <w:b/>
                <w:sz w:val="18"/>
              </w:rPr>
            </w:pPr>
          </w:p>
          <w:p>
            <w:pPr>
              <w:pStyle w:val="TableParagraph"/>
              <w:spacing w:line="187" w:lineRule="exact"/>
              <w:ind w:left="0" w:right="45"/>
              <w:jc w:val="right"/>
              <w:rPr>
                <w:sz w:val="18"/>
              </w:rPr>
            </w:pPr>
            <w:r>
              <w:rPr>
                <w:w w:val="95"/>
                <w:sz w:val="18"/>
              </w:rPr>
              <w:t>2633</w:t>
            </w:r>
          </w:p>
        </w:tc>
        <w:tc>
          <w:tcPr>
            <w:tcW w:w="1699" w:type="dxa"/>
            <w:tcBorders>
              <w:left w:val="single" w:sz="2" w:space="0" w:color="000000"/>
              <w:bottom w:val="single" w:sz="2" w:space="0" w:color="000000"/>
              <w:right w:val="single" w:sz="2" w:space="0" w:color="000000"/>
            </w:tcBorders>
          </w:tcPr>
          <w:p>
            <w:pPr>
              <w:pStyle w:val="TableParagraph"/>
              <w:ind w:left="0"/>
              <w:rPr>
                <w:rFonts w:ascii="Times New Roman"/>
                <w:sz w:val="20"/>
              </w:rPr>
            </w:pPr>
          </w:p>
        </w:tc>
      </w:tr>
      <w:tr>
        <w:trPr>
          <w:trHeight w:val="204" w:hRule="atLeast"/>
        </w:trPr>
        <w:tc>
          <w:tcPr>
            <w:tcW w:w="1558" w:type="dxa"/>
            <w:tcBorders>
              <w:top w:val="single" w:sz="2" w:space="0" w:color="000000"/>
              <w:left w:val="single" w:sz="2" w:space="0" w:color="000000"/>
              <w:bottom w:val="single" w:sz="2" w:space="0" w:color="000000"/>
              <w:right w:val="single" w:sz="2" w:space="0" w:color="000000"/>
            </w:tcBorders>
          </w:tcPr>
          <w:p>
            <w:pPr>
              <w:pStyle w:val="TableParagraph"/>
              <w:spacing w:line="184" w:lineRule="exact"/>
              <w:ind w:left="88"/>
              <w:rPr>
                <w:sz w:val="18"/>
              </w:rPr>
            </w:pPr>
            <w:r>
              <w:rPr>
                <w:sz w:val="18"/>
              </w:rPr>
              <w:t>35.L</w:t>
            </w:r>
          </w:p>
        </w:tc>
        <w:tc>
          <w:tcPr>
            <w:tcW w:w="4678" w:type="dxa"/>
            <w:tcBorders>
              <w:top w:val="single" w:sz="2" w:space="0" w:color="000000"/>
              <w:left w:val="single" w:sz="2" w:space="0" w:color="000000"/>
              <w:bottom w:val="single" w:sz="2" w:space="0" w:color="000000"/>
              <w:right w:val="single" w:sz="2" w:space="0" w:color="000000"/>
            </w:tcBorders>
          </w:tcPr>
          <w:p>
            <w:pPr>
              <w:pStyle w:val="TableParagraph"/>
              <w:spacing w:line="184" w:lineRule="exact"/>
              <w:ind w:left="88"/>
              <w:rPr>
                <w:sz w:val="18"/>
              </w:rPr>
            </w:pPr>
            <w:r>
              <w:rPr>
                <w:sz w:val="18"/>
              </w:rPr>
              <w:t>pod Ovčí horou - převod do PUPFL</w:t>
            </w:r>
          </w:p>
        </w:tc>
        <w:tc>
          <w:tcPr>
            <w:tcW w:w="852" w:type="dxa"/>
            <w:tcBorders>
              <w:top w:val="single" w:sz="2" w:space="0" w:color="000000"/>
              <w:left w:val="single" w:sz="2" w:space="0" w:color="000000"/>
              <w:bottom w:val="single" w:sz="2" w:space="0" w:color="000000"/>
              <w:right w:val="single" w:sz="2" w:space="0" w:color="000000"/>
            </w:tcBorders>
          </w:tcPr>
          <w:p>
            <w:pPr>
              <w:pStyle w:val="TableParagraph"/>
              <w:spacing w:line="184" w:lineRule="exact"/>
              <w:ind w:left="0" w:right="45"/>
              <w:jc w:val="right"/>
              <w:rPr>
                <w:sz w:val="18"/>
              </w:rPr>
            </w:pPr>
            <w:r>
              <w:rPr>
                <w:w w:val="95"/>
                <w:sz w:val="18"/>
              </w:rPr>
              <w:t>2721</w:t>
            </w:r>
          </w:p>
        </w:tc>
        <w:tc>
          <w:tcPr>
            <w:tcW w:w="169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8" w:hRule="atLeast"/>
        </w:trPr>
        <w:tc>
          <w:tcPr>
            <w:tcW w:w="1558"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36.L</w:t>
            </w:r>
          </w:p>
        </w:tc>
        <w:tc>
          <w:tcPr>
            <w:tcW w:w="4678"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88"/>
              <w:rPr>
                <w:sz w:val="18"/>
              </w:rPr>
            </w:pPr>
            <w:r>
              <w:rPr>
                <w:sz w:val="18"/>
              </w:rPr>
              <w:t>u obalovny - převod do PUPFL</w:t>
            </w:r>
          </w:p>
        </w:tc>
        <w:tc>
          <w:tcPr>
            <w:tcW w:w="852" w:type="dxa"/>
            <w:tcBorders>
              <w:top w:val="single" w:sz="2" w:space="0" w:color="000000"/>
              <w:left w:val="single" w:sz="2" w:space="0" w:color="000000"/>
              <w:bottom w:val="single" w:sz="2" w:space="0" w:color="000000"/>
              <w:right w:val="single" w:sz="2" w:space="0" w:color="000000"/>
            </w:tcBorders>
          </w:tcPr>
          <w:p>
            <w:pPr>
              <w:pStyle w:val="TableParagraph"/>
              <w:spacing w:line="189" w:lineRule="exact"/>
              <w:ind w:left="0" w:right="45"/>
              <w:jc w:val="right"/>
              <w:rPr>
                <w:sz w:val="18"/>
              </w:rPr>
            </w:pPr>
            <w:r>
              <w:rPr>
                <w:w w:val="95"/>
                <w:sz w:val="18"/>
              </w:rPr>
              <w:t>185</w:t>
            </w:r>
          </w:p>
        </w:tc>
        <w:tc>
          <w:tcPr>
            <w:tcW w:w="169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6" w:hRule="atLeast"/>
        </w:trPr>
        <w:tc>
          <w:tcPr>
            <w:tcW w:w="1558"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37.L</w:t>
            </w:r>
          </w:p>
        </w:tc>
        <w:tc>
          <w:tcPr>
            <w:tcW w:w="4678"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u obalovny - převod do PUPFL</w:t>
            </w:r>
          </w:p>
        </w:tc>
        <w:tc>
          <w:tcPr>
            <w:tcW w:w="852"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1970</w:t>
            </w:r>
          </w:p>
        </w:tc>
        <w:tc>
          <w:tcPr>
            <w:tcW w:w="169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6" w:hRule="atLeast"/>
        </w:trPr>
        <w:tc>
          <w:tcPr>
            <w:tcW w:w="1558"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38.L</w:t>
            </w:r>
          </w:p>
        </w:tc>
        <w:tc>
          <w:tcPr>
            <w:tcW w:w="4678"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u obalovny - převod do PUPFL</w:t>
            </w:r>
          </w:p>
        </w:tc>
        <w:tc>
          <w:tcPr>
            <w:tcW w:w="852"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1168</w:t>
            </w:r>
          </w:p>
        </w:tc>
        <w:tc>
          <w:tcPr>
            <w:tcW w:w="169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8" w:hRule="atLeast"/>
        </w:trPr>
        <w:tc>
          <w:tcPr>
            <w:tcW w:w="1558" w:type="dxa"/>
            <w:tcBorders>
              <w:top w:val="single" w:sz="2" w:space="0" w:color="000000"/>
              <w:left w:val="single" w:sz="2" w:space="0" w:color="000000"/>
              <w:right w:val="single" w:sz="2" w:space="0" w:color="000000"/>
            </w:tcBorders>
          </w:tcPr>
          <w:p>
            <w:pPr>
              <w:pStyle w:val="TableParagraph"/>
              <w:spacing w:line="188" w:lineRule="exact"/>
              <w:ind w:left="88"/>
              <w:rPr>
                <w:sz w:val="18"/>
              </w:rPr>
            </w:pPr>
            <w:r>
              <w:rPr>
                <w:sz w:val="18"/>
              </w:rPr>
              <w:t>39.L</w:t>
            </w:r>
          </w:p>
        </w:tc>
        <w:tc>
          <w:tcPr>
            <w:tcW w:w="4678" w:type="dxa"/>
            <w:tcBorders>
              <w:top w:val="single" w:sz="2" w:space="0" w:color="000000"/>
              <w:left w:val="single" w:sz="2" w:space="0" w:color="000000"/>
              <w:right w:val="single" w:sz="2" w:space="0" w:color="000000"/>
            </w:tcBorders>
          </w:tcPr>
          <w:p>
            <w:pPr>
              <w:pStyle w:val="TableParagraph"/>
              <w:spacing w:line="188" w:lineRule="exact"/>
              <w:ind w:left="88"/>
              <w:rPr>
                <w:sz w:val="18"/>
              </w:rPr>
            </w:pPr>
            <w:r>
              <w:rPr>
                <w:sz w:val="18"/>
              </w:rPr>
              <w:t>pod Ovčí horou - převod do PUPFL</w:t>
            </w:r>
          </w:p>
        </w:tc>
        <w:tc>
          <w:tcPr>
            <w:tcW w:w="852" w:type="dxa"/>
            <w:tcBorders>
              <w:top w:val="single" w:sz="2" w:space="0" w:color="000000"/>
              <w:left w:val="single" w:sz="2" w:space="0" w:color="000000"/>
              <w:right w:val="single" w:sz="2" w:space="0" w:color="000000"/>
            </w:tcBorders>
          </w:tcPr>
          <w:p>
            <w:pPr>
              <w:pStyle w:val="TableParagraph"/>
              <w:spacing w:line="188" w:lineRule="exact"/>
              <w:ind w:left="0" w:right="45"/>
              <w:jc w:val="right"/>
              <w:rPr>
                <w:sz w:val="18"/>
              </w:rPr>
            </w:pPr>
            <w:r>
              <w:rPr>
                <w:w w:val="95"/>
                <w:sz w:val="18"/>
              </w:rPr>
              <w:t>9163</w:t>
            </w:r>
          </w:p>
        </w:tc>
        <w:tc>
          <w:tcPr>
            <w:tcW w:w="1699" w:type="dxa"/>
            <w:tcBorders>
              <w:top w:val="single" w:sz="2" w:space="0" w:color="000000"/>
              <w:left w:val="single" w:sz="2" w:space="0" w:color="000000"/>
              <w:right w:val="single" w:sz="2" w:space="0" w:color="000000"/>
            </w:tcBorders>
          </w:tcPr>
          <w:p>
            <w:pPr>
              <w:pStyle w:val="TableParagraph"/>
              <w:ind w:left="0"/>
              <w:rPr>
                <w:rFonts w:ascii="Times New Roman"/>
                <w:sz w:val="14"/>
              </w:rPr>
            </w:pPr>
          </w:p>
        </w:tc>
      </w:tr>
      <w:tr>
        <w:trPr>
          <w:trHeight w:val="205" w:hRule="atLeast"/>
        </w:trPr>
        <w:tc>
          <w:tcPr>
            <w:tcW w:w="7088" w:type="dxa"/>
            <w:gridSpan w:val="3"/>
            <w:shd w:val="clear" w:color="auto" w:fill="DADADA"/>
          </w:tcPr>
          <w:p>
            <w:pPr>
              <w:pStyle w:val="TableParagraph"/>
              <w:spacing w:line="186" w:lineRule="exact"/>
              <w:ind w:left="28"/>
              <w:rPr>
                <w:b/>
                <w:sz w:val="18"/>
              </w:rPr>
            </w:pPr>
            <w:r>
              <w:rPr>
                <w:b/>
                <w:sz w:val="18"/>
              </w:rPr>
              <w:t>k.ú. Dolní Chrastava</w:t>
            </w:r>
          </w:p>
        </w:tc>
        <w:tc>
          <w:tcPr>
            <w:tcW w:w="1699" w:type="dxa"/>
            <w:shd w:val="clear" w:color="auto" w:fill="DADADA"/>
          </w:tcPr>
          <w:p>
            <w:pPr>
              <w:pStyle w:val="TableParagraph"/>
              <w:ind w:left="0"/>
              <w:rPr>
                <w:rFonts w:ascii="Times New Roman"/>
                <w:sz w:val="14"/>
              </w:rPr>
            </w:pPr>
          </w:p>
        </w:tc>
      </w:tr>
      <w:tr>
        <w:trPr>
          <w:trHeight w:val="208" w:hRule="atLeast"/>
        </w:trPr>
        <w:tc>
          <w:tcPr>
            <w:tcW w:w="1558" w:type="dxa"/>
            <w:tcBorders>
              <w:left w:val="single" w:sz="2" w:space="0" w:color="000000"/>
              <w:bottom w:val="single" w:sz="2" w:space="0" w:color="000000"/>
              <w:right w:val="single" w:sz="2" w:space="0" w:color="000000"/>
            </w:tcBorders>
          </w:tcPr>
          <w:p>
            <w:pPr>
              <w:pStyle w:val="TableParagraph"/>
              <w:spacing w:line="188" w:lineRule="exact"/>
              <w:ind w:left="88"/>
              <w:rPr>
                <w:sz w:val="18"/>
              </w:rPr>
            </w:pPr>
            <w:r>
              <w:rPr>
                <w:sz w:val="18"/>
              </w:rPr>
              <w:t>86.N</w:t>
            </w:r>
          </w:p>
        </w:tc>
        <w:tc>
          <w:tcPr>
            <w:tcW w:w="4678" w:type="dxa"/>
            <w:tcBorders>
              <w:left w:val="single" w:sz="2" w:space="0" w:color="000000"/>
              <w:bottom w:val="single" w:sz="2" w:space="0" w:color="000000"/>
              <w:right w:val="single" w:sz="2" w:space="0" w:color="000000"/>
            </w:tcBorders>
          </w:tcPr>
          <w:p>
            <w:pPr>
              <w:pStyle w:val="TableParagraph"/>
              <w:spacing w:line="188" w:lineRule="exact"/>
              <w:ind w:left="88"/>
              <w:rPr>
                <w:sz w:val="18"/>
              </w:rPr>
            </w:pPr>
            <w:r>
              <w:rPr>
                <w:sz w:val="18"/>
              </w:rPr>
              <w:t>k Bílému kostelu – rozšíření biocentra BC 1254</w:t>
            </w:r>
          </w:p>
        </w:tc>
        <w:tc>
          <w:tcPr>
            <w:tcW w:w="852" w:type="dxa"/>
            <w:tcBorders>
              <w:left w:val="single" w:sz="2" w:space="0" w:color="000000"/>
              <w:bottom w:val="single" w:sz="2" w:space="0" w:color="000000"/>
              <w:right w:val="single" w:sz="2" w:space="0" w:color="000000"/>
            </w:tcBorders>
          </w:tcPr>
          <w:p>
            <w:pPr>
              <w:pStyle w:val="TableParagraph"/>
              <w:spacing w:line="188" w:lineRule="exact"/>
              <w:ind w:left="0" w:right="45"/>
              <w:jc w:val="right"/>
              <w:rPr>
                <w:sz w:val="18"/>
              </w:rPr>
            </w:pPr>
            <w:r>
              <w:rPr>
                <w:w w:val="95"/>
                <w:sz w:val="18"/>
              </w:rPr>
              <w:t>3293</w:t>
            </w:r>
          </w:p>
        </w:tc>
        <w:tc>
          <w:tcPr>
            <w:tcW w:w="1699" w:type="dxa"/>
            <w:tcBorders>
              <w:left w:val="single" w:sz="2" w:space="0" w:color="000000"/>
              <w:bottom w:val="single" w:sz="2" w:space="0" w:color="000000"/>
              <w:right w:val="single" w:sz="2" w:space="0" w:color="000000"/>
            </w:tcBorders>
          </w:tcPr>
          <w:p>
            <w:pPr>
              <w:pStyle w:val="TableParagraph"/>
              <w:ind w:left="0"/>
              <w:rPr>
                <w:rFonts w:ascii="Times New Roman"/>
                <w:sz w:val="14"/>
              </w:rPr>
            </w:pPr>
          </w:p>
        </w:tc>
      </w:tr>
      <w:tr>
        <w:trPr>
          <w:trHeight w:val="206" w:hRule="atLeast"/>
        </w:trPr>
        <w:tc>
          <w:tcPr>
            <w:tcW w:w="1558"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97.L</w:t>
            </w:r>
          </w:p>
        </w:tc>
        <w:tc>
          <w:tcPr>
            <w:tcW w:w="4678"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88"/>
              <w:rPr>
                <w:sz w:val="18"/>
              </w:rPr>
            </w:pPr>
            <w:r>
              <w:rPr>
                <w:sz w:val="18"/>
              </w:rPr>
              <w:t>pod Ovčí horou - převod do PUPFL</w:t>
            </w:r>
          </w:p>
        </w:tc>
        <w:tc>
          <w:tcPr>
            <w:tcW w:w="852" w:type="dxa"/>
            <w:tcBorders>
              <w:top w:val="single" w:sz="2" w:space="0" w:color="000000"/>
              <w:left w:val="single" w:sz="2" w:space="0" w:color="000000"/>
              <w:bottom w:val="single" w:sz="2" w:space="0" w:color="000000"/>
              <w:right w:val="single" w:sz="2" w:space="0" w:color="000000"/>
            </w:tcBorders>
          </w:tcPr>
          <w:p>
            <w:pPr>
              <w:pStyle w:val="TableParagraph"/>
              <w:spacing w:line="186" w:lineRule="exact"/>
              <w:ind w:left="0" w:right="45"/>
              <w:jc w:val="right"/>
              <w:rPr>
                <w:sz w:val="18"/>
              </w:rPr>
            </w:pPr>
            <w:r>
              <w:rPr>
                <w:w w:val="95"/>
                <w:sz w:val="18"/>
              </w:rPr>
              <w:t>2553</w:t>
            </w:r>
          </w:p>
        </w:tc>
        <w:tc>
          <w:tcPr>
            <w:tcW w:w="1699" w:type="dxa"/>
            <w:tcBorders>
              <w:top w:val="single" w:sz="2" w:space="0" w:color="000000"/>
              <w:left w:val="single" w:sz="2" w:space="0" w:color="000000"/>
              <w:bottom w:val="single" w:sz="2" w:space="0" w:color="000000"/>
              <w:right w:val="single" w:sz="2" w:space="0" w:color="000000"/>
            </w:tcBorders>
          </w:tcPr>
          <w:p>
            <w:pPr>
              <w:pStyle w:val="TableParagraph"/>
              <w:ind w:left="0"/>
              <w:rPr>
                <w:rFonts w:ascii="Times New Roman"/>
                <w:sz w:val="14"/>
              </w:rPr>
            </w:pPr>
          </w:p>
        </w:tc>
      </w:tr>
    </w:tbl>
    <w:p>
      <w:pPr>
        <w:pStyle w:val="ListParagraph"/>
        <w:numPr>
          <w:ilvl w:val="0"/>
          <w:numId w:val="1"/>
        </w:numPr>
        <w:tabs>
          <w:tab w:pos="1024" w:val="left" w:leader="none"/>
          <w:tab w:pos="1025" w:val="left" w:leader="none"/>
        </w:tabs>
        <w:spacing w:line="240" w:lineRule="auto" w:before="115" w:after="0"/>
        <w:ind w:left="1024" w:right="147" w:hanging="852"/>
        <w:jc w:val="both"/>
        <w:rPr>
          <w:sz w:val="22"/>
        </w:rPr>
      </w:pPr>
      <w:r>
        <w:rPr>
          <w:b/>
          <w:sz w:val="22"/>
        </w:rPr>
        <w:t>Ochranu krajinného rázu </w:t>
      </w:r>
      <w:r>
        <w:rPr>
          <w:sz w:val="22"/>
        </w:rPr>
        <w:t>v návrzích urbanistického řešení realizovat naplněním podmínek stanovených v kapitole „F Podmínky pro využití ploch s rozdílným způsobem využití (též regulativy)“ pro vymezené plochy, kde se pro dosažení vyváženosti urbanizačních zásahů a ochrany jedinečných krajinných hodnot</w:t>
      </w:r>
      <w:r>
        <w:rPr>
          <w:spacing w:val="-9"/>
          <w:sz w:val="22"/>
        </w:rPr>
        <w:t> </w:t>
      </w:r>
      <w:r>
        <w:rPr>
          <w:sz w:val="22"/>
        </w:rPr>
        <w:t>vymezují:</w:t>
      </w:r>
    </w:p>
    <w:p>
      <w:pPr>
        <w:pStyle w:val="ListParagraph"/>
        <w:numPr>
          <w:ilvl w:val="0"/>
          <w:numId w:val="2"/>
        </w:numPr>
        <w:tabs>
          <w:tab w:pos="1024" w:val="left" w:leader="none"/>
          <w:tab w:pos="1025" w:val="left" w:leader="none"/>
        </w:tabs>
        <w:spacing w:line="240" w:lineRule="auto" w:before="63" w:after="0"/>
        <w:ind w:left="1024" w:right="147" w:hanging="852"/>
        <w:jc w:val="both"/>
        <w:rPr>
          <w:sz w:val="22"/>
        </w:rPr>
      </w:pPr>
      <w:r>
        <w:rPr>
          <w:sz w:val="22"/>
        </w:rPr>
        <w:t>nezastavěné a nezastavitelné plochy s rozdílným způsobem využití zakreslené v Hlavním výkresu</w:t>
      </w:r>
      <w:r>
        <w:rPr>
          <w:spacing w:val="-3"/>
          <w:sz w:val="22"/>
        </w:rPr>
        <w:t> </w:t>
      </w:r>
      <w:r>
        <w:rPr>
          <w:sz w:val="22"/>
        </w:rPr>
        <w:t>(2),</w:t>
      </w:r>
    </w:p>
    <w:p>
      <w:pPr>
        <w:pStyle w:val="ListParagraph"/>
        <w:numPr>
          <w:ilvl w:val="0"/>
          <w:numId w:val="2"/>
        </w:numPr>
        <w:tabs>
          <w:tab w:pos="1024" w:val="left" w:leader="none"/>
          <w:tab w:pos="1025" w:val="left" w:leader="none"/>
        </w:tabs>
        <w:spacing w:line="240" w:lineRule="auto" w:before="57" w:after="0"/>
        <w:ind w:left="1024" w:right="147" w:hanging="853"/>
        <w:jc w:val="both"/>
        <w:rPr>
          <w:sz w:val="22"/>
        </w:rPr>
      </w:pPr>
      <w:r>
        <w:rPr>
          <w:sz w:val="22"/>
        </w:rPr>
        <w:t>intenzita využití zastavěných a zastavitelných ploch daná výškovou hladinou </w:t>
      </w:r>
      <w:r>
        <w:rPr>
          <w:spacing w:val="-4"/>
          <w:sz w:val="22"/>
        </w:rPr>
        <w:t>zástavby, </w:t>
      </w:r>
      <w:r>
        <w:rPr>
          <w:sz w:val="22"/>
        </w:rPr>
        <w:t>koeficientem zastavění nadzemními stavbami (Kn), koeficientem zeleně (Kz) zakresleným ve Výkresu základního členění území (1) pro plochy stabilizované a v Hlavním výkresu (2) pro plochy</w:t>
      </w:r>
      <w:r>
        <w:rPr>
          <w:spacing w:val="-3"/>
          <w:sz w:val="22"/>
        </w:rPr>
        <w:t> </w:t>
      </w:r>
      <w:r>
        <w:rPr>
          <w:sz w:val="22"/>
        </w:rPr>
        <w:t>rozvojové,</w:t>
      </w:r>
    </w:p>
    <w:p>
      <w:pPr>
        <w:pStyle w:val="ListParagraph"/>
        <w:numPr>
          <w:ilvl w:val="0"/>
          <w:numId w:val="2"/>
        </w:numPr>
        <w:tabs>
          <w:tab w:pos="1024" w:val="left" w:leader="none"/>
          <w:tab w:pos="1025" w:val="left" w:leader="none"/>
        </w:tabs>
        <w:spacing w:line="240" w:lineRule="auto" w:before="60" w:after="0"/>
        <w:ind w:left="1024" w:right="146" w:hanging="852"/>
        <w:jc w:val="both"/>
        <w:rPr>
          <w:sz w:val="22"/>
        </w:rPr>
      </w:pPr>
      <w:r>
        <w:rPr>
          <w:sz w:val="22"/>
        </w:rPr>
        <w:t>upřesňující podmínky pro funkční využití a prostorové uspořádání všech ploch stanovené v kapitolách </w:t>
      </w:r>
      <w:r>
        <w:rPr>
          <w:spacing w:val="-5"/>
          <w:sz w:val="22"/>
        </w:rPr>
        <w:t>„F.2“, </w:t>
      </w:r>
      <w:r>
        <w:rPr>
          <w:spacing w:val="-6"/>
          <w:sz w:val="22"/>
        </w:rPr>
        <w:t>„F.3“ </w:t>
      </w:r>
      <w:r>
        <w:rPr>
          <w:sz w:val="22"/>
        </w:rPr>
        <w:t>a</w:t>
      </w:r>
      <w:r>
        <w:rPr>
          <w:spacing w:val="6"/>
          <w:sz w:val="22"/>
        </w:rPr>
        <w:t> </w:t>
      </w:r>
      <w:r>
        <w:rPr>
          <w:spacing w:val="-5"/>
          <w:sz w:val="22"/>
        </w:rPr>
        <w:t>„F.4“.</w:t>
      </w:r>
    </w:p>
    <w:p>
      <w:pPr>
        <w:pStyle w:val="ListParagraph"/>
        <w:numPr>
          <w:ilvl w:val="0"/>
          <w:numId w:val="1"/>
        </w:numPr>
        <w:tabs>
          <w:tab w:pos="1024" w:val="left" w:leader="none"/>
          <w:tab w:pos="1025" w:val="left" w:leader="none"/>
        </w:tabs>
        <w:spacing w:line="240" w:lineRule="auto" w:before="144" w:after="0"/>
        <w:ind w:left="1024" w:right="146" w:hanging="852"/>
        <w:jc w:val="both"/>
        <w:rPr>
          <w:sz w:val="22"/>
        </w:rPr>
      </w:pPr>
      <w:r>
        <w:rPr>
          <w:sz w:val="22"/>
        </w:rPr>
        <w:t>Ochranu krajinného rázu realizovat rovněž dle podmínek péče v rámci významově nadřazených jednotek (</w:t>
      </w:r>
      <w:r>
        <w:rPr>
          <w:b/>
          <w:sz w:val="22"/>
        </w:rPr>
        <w:t>oblasti krajinného rázu - OKR, podoblasti krajinného rázu POK</w:t>
      </w:r>
      <w:r>
        <w:rPr>
          <w:sz w:val="22"/>
        </w:rPr>
        <w:t>R) a v intencích specifických kritérií a podmínek při plánování změn v území a rozhodování o nich navržených v ZÚR</w:t>
      </w:r>
      <w:r>
        <w:rPr>
          <w:spacing w:val="-7"/>
          <w:sz w:val="22"/>
        </w:rPr>
        <w:t> </w:t>
      </w:r>
      <w:r>
        <w:rPr>
          <w:sz w:val="22"/>
        </w:rPr>
        <w:t>LK,</w:t>
      </w:r>
    </w:p>
    <w:p>
      <w:pPr>
        <w:pStyle w:val="ListParagraph"/>
        <w:numPr>
          <w:ilvl w:val="0"/>
          <w:numId w:val="2"/>
        </w:numPr>
        <w:tabs>
          <w:tab w:pos="1024" w:val="left" w:leader="none"/>
          <w:tab w:pos="1025" w:val="left" w:leader="none"/>
        </w:tabs>
        <w:spacing w:line="240" w:lineRule="auto" w:before="58" w:after="0"/>
        <w:ind w:left="1024" w:right="146" w:hanging="852"/>
        <w:jc w:val="both"/>
        <w:rPr>
          <w:sz w:val="22"/>
        </w:rPr>
      </w:pPr>
      <w:r>
        <w:rPr>
          <w:sz w:val="22"/>
        </w:rPr>
        <w:t>přitom respektovat a rozvíjet základní atributy krajinného rázu a územní stabilitu charakteristickou pro specifické jednotky krajinného rázu a jejich pozitivní</w:t>
      </w:r>
      <w:r>
        <w:rPr>
          <w:spacing w:val="-44"/>
          <w:sz w:val="22"/>
        </w:rPr>
        <w:t> </w:t>
      </w:r>
      <w:r>
        <w:rPr>
          <w:sz w:val="22"/>
        </w:rPr>
        <w:t>charakteristiky,</w:t>
      </w:r>
    </w:p>
    <w:p>
      <w:pPr>
        <w:pStyle w:val="ListParagraph"/>
        <w:numPr>
          <w:ilvl w:val="0"/>
          <w:numId w:val="2"/>
        </w:numPr>
        <w:tabs>
          <w:tab w:pos="1024" w:val="left" w:leader="none"/>
          <w:tab w:pos="1025" w:val="left" w:leader="none"/>
        </w:tabs>
        <w:spacing w:line="240" w:lineRule="auto" w:before="60" w:after="0"/>
        <w:ind w:left="1024" w:right="0" w:hanging="853"/>
        <w:jc w:val="both"/>
        <w:rPr>
          <w:sz w:val="22"/>
        </w:rPr>
      </w:pPr>
      <w:r>
        <w:rPr>
          <w:sz w:val="22"/>
        </w:rPr>
        <w:t>MKR se s ohledem na dostatečnost výše uvedených nástrojů</w:t>
      </w:r>
      <w:r>
        <w:rPr>
          <w:spacing w:val="-8"/>
          <w:sz w:val="22"/>
        </w:rPr>
        <w:t> </w:t>
      </w:r>
      <w:r>
        <w:rPr>
          <w:sz w:val="22"/>
        </w:rPr>
        <w:t>nevymezují.</w:t>
      </w:r>
    </w:p>
    <w:p>
      <w:pPr>
        <w:pStyle w:val="ListParagraph"/>
        <w:numPr>
          <w:ilvl w:val="0"/>
          <w:numId w:val="1"/>
        </w:numPr>
        <w:tabs>
          <w:tab w:pos="1024" w:val="left" w:leader="none"/>
          <w:tab w:pos="1025" w:val="left" w:leader="none"/>
        </w:tabs>
        <w:spacing w:line="237" w:lineRule="auto" w:before="122" w:after="0"/>
        <w:ind w:left="1024" w:right="146" w:hanging="852"/>
        <w:jc w:val="both"/>
        <w:rPr>
          <w:sz w:val="22"/>
        </w:rPr>
      </w:pPr>
      <w:r>
        <w:rPr>
          <w:sz w:val="22"/>
        </w:rPr>
        <w:t>Ochranu krajinného rázu v prostoru obecně chráněného území Přírodního parku Ještěd realizovat v intencích </w:t>
      </w:r>
      <w:r>
        <w:rPr>
          <w:b/>
          <w:sz w:val="22"/>
        </w:rPr>
        <w:t>vyhlášky o zřízení </w:t>
      </w:r>
      <w:r>
        <w:rPr>
          <w:sz w:val="22"/>
        </w:rPr>
        <w:t>tohoto přírodního</w:t>
      </w:r>
      <w:r>
        <w:rPr>
          <w:spacing w:val="-13"/>
          <w:sz w:val="22"/>
        </w:rPr>
        <w:t> </w:t>
      </w:r>
      <w:r>
        <w:rPr>
          <w:sz w:val="22"/>
        </w:rPr>
        <w:t>parku,</w:t>
      </w:r>
    </w:p>
    <w:p>
      <w:pPr>
        <w:pStyle w:val="ListParagraph"/>
        <w:numPr>
          <w:ilvl w:val="0"/>
          <w:numId w:val="2"/>
        </w:numPr>
        <w:tabs>
          <w:tab w:pos="1024" w:val="left" w:leader="none"/>
          <w:tab w:pos="1025" w:val="left" w:leader="none"/>
        </w:tabs>
        <w:spacing w:line="240" w:lineRule="auto" w:before="61" w:after="0"/>
        <w:ind w:left="1024" w:right="0" w:hanging="853"/>
        <w:jc w:val="both"/>
        <w:rPr>
          <w:sz w:val="22"/>
        </w:rPr>
      </w:pPr>
      <w:r>
        <w:rPr>
          <w:sz w:val="22"/>
        </w:rPr>
        <w:t>respektovat stanovené zásady ochrany přírody a krajiny i v sousedství těchto</w:t>
      </w:r>
      <w:r>
        <w:rPr>
          <w:spacing w:val="-29"/>
          <w:sz w:val="22"/>
        </w:rPr>
        <w:t> </w:t>
      </w:r>
      <w:r>
        <w:rPr>
          <w:sz w:val="22"/>
        </w:rPr>
        <w:t>území.</w:t>
      </w:r>
    </w:p>
    <w:p>
      <w:pPr>
        <w:spacing w:after="0" w:line="240" w:lineRule="auto"/>
        <w:jc w:val="both"/>
        <w:rPr>
          <w:sz w:val="22"/>
        </w:rPr>
        <w:sectPr>
          <w:headerReference w:type="default" r:id="rId15"/>
          <w:footerReference w:type="default" r:id="rId16"/>
          <w:pgSz w:w="11900" w:h="16840"/>
          <w:pgMar w:header="557" w:footer="582" w:top="760" w:bottom="780" w:left="960" w:right="980"/>
          <w:pgNumType w:start="32"/>
        </w:sectPr>
      </w:pPr>
    </w:p>
    <w:p>
      <w:pPr>
        <w:pStyle w:val="BodyText"/>
        <w:spacing w:before="1"/>
        <w:ind w:left="0" w:firstLine="0"/>
        <w:jc w:val="left"/>
      </w:pPr>
    </w:p>
    <w:p>
      <w:pPr>
        <w:pStyle w:val="ListParagraph"/>
        <w:numPr>
          <w:ilvl w:val="0"/>
          <w:numId w:val="1"/>
        </w:numPr>
        <w:tabs>
          <w:tab w:pos="1024" w:val="left" w:leader="none"/>
          <w:tab w:pos="1025" w:val="left" w:leader="none"/>
        </w:tabs>
        <w:spacing w:line="244" w:lineRule="auto" w:before="101" w:after="0"/>
        <w:ind w:left="1024" w:right="144" w:hanging="852"/>
        <w:jc w:val="both"/>
        <w:rPr>
          <w:sz w:val="22"/>
        </w:rPr>
      </w:pPr>
      <w:r>
        <w:rPr>
          <w:sz w:val="22"/>
        </w:rPr>
        <w:t>Návrhy urbanistického řešení neměnit </w:t>
      </w:r>
      <w:r>
        <w:rPr>
          <w:b/>
          <w:sz w:val="22"/>
        </w:rPr>
        <w:t>základní uspořádání </w:t>
      </w:r>
      <w:r>
        <w:rPr>
          <w:sz w:val="22"/>
        </w:rPr>
        <w:t>a charakteristické znaky krajiny řešeného</w:t>
      </w:r>
      <w:r>
        <w:rPr>
          <w:spacing w:val="-5"/>
          <w:sz w:val="22"/>
        </w:rPr>
        <w:t> </w:t>
      </w:r>
      <w:r>
        <w:rPr>
          <w:sz w:val="22"/>
        </w:rPr>
        <w:t>území.</w:t>
      </w:r>
    </w:p>
    <w:p>
      <w:pPr>
        <w:pStyle w:val="ListParagraph"/>
        <w:numPr>
          <w:ilvl w:val="0"/>
          <w:numId w:val="1"/>
        </w:numPr>
        <w:tabs>
          <w:tab w:pos="1024" w:val="left" w:leader="none"/>
          <w:tab w:pos="1025" w:val="left" w:leader="none"/>
        </w:tabs>
        <w:spacing w:line="244" w:lineRule="auto" w:before="110" w:after="0"/>
        <w:ind w:left="1024" w:right="146" w:hanging="852"/>
        <w:jc w:val="both"/>
        <w:rPr>
          <w:sz w:val="22"/>
        </w:rPr>
      </w:pPr>
      <w:r>
        <w:rPr>
          <w:sz w:val="22"/>
        </w:rPr>
        <w:t>Zachovat přírodní ráz </w:t>
      </w:r>
      <w:r>
        <w:rPr>
          <w:b/>
          <w:sz w:val="22"/>
        </w:rPr>
        <w:t>horské lesnaté krajiny</w:t>
      </w:r>
      <w:r>
        <w:rPr>
          <w:sz w:val="22"/>
        </w:rPr>
        <w:t>, venkovský ráz částí původních sídel a rozsah a charakter stávajících luk a pastvin v jejích bezlesých</w:t>
      </w:r>
      <w:r>
        <w:rPr>
          <w:spacing w:val="-8"/>
          <w:sz w:val="22"/>
        </w:rPr>
        <w:t> </w:t>
      </w:r>
      <w:r>
        <w:rPr>
          <w:sz w:val="22"/>
        </w:rPr>
        <w:t>enklávách,</w:t>
      </w:r>
    </w:p>
    <w:p>
      <w:pPr>
        <w:pStyle w:val="ListParagraph"/>
        <w:numPr>
          <w:ilvl w:val="0"/>
          <w:numId w:val="2"/>
        </w:numPr>
        <w:tabs>
          <w:tab w:pos="1024" w:val="left" w:leader="none"/>
          <w:tab w:pos="1025" w:val="left" w:leader="none"/>
        </w:tabs>
        <w:spacing w:line="240" w:lineRule="auto" w:before="137" w:after="0"/>
        <w:ind w:left="1024" w:right="147" w:hanging="853"/>
        <w:jc w:val="both"/>
        <w:rPr>
          <w:sz w:val="22"/>
        </w:rPr>
      </w:pPr>
      <w:r>
        <w:rPr>
          <w:sz w:val="22"/>
        </w:rPr>
        <w:t>uvážlivé zasahovat do lesních komplexů ve vrcholových profilech obnovnými prvky, neumísťovati nové technické prvky a jiné objekty narušující pohledové</w:t>
      </w:r>
      <w:r>
        <w:rPr>
          <w:spacing w:val="-20"/>
          <w:sz w:val="22"/>
        </w:rPr>
        <w:t> </w:t>
      </w:r>
      <w:r>
        <w:rPr>
          <w:sz w:val="22"/>
        </w:rPr>
        <w:t>reliéfy,</w:t>
      </w:r>
    </w:p>
    <w:p>
      <w:pPr>
        <w:pStyle w:val="ListParagraph"/>
        <w:numPr>
          <w:ilvl w:val="0"/>
          <w:numId w:val="2"/>
        </w:numPr>
        <w:tabs>
          <w:tab w:pos="1024" w:val="left" w:leader="none"/>
          <w:tab w:pos="1025" w:val="left" w:leader="none"/>
        </w:tabs>
        <w:spacing w:line="240" w:lineRule="auto" w:before="144" w:after="0"/>
        <w:ind w:left="1024" w:right="0" w:hanging="853"/>
        <w:jc w:val="left"/>
        <w:rPr>
          <w:sz w:val="22"/>
        </w:rPr>
      </w:pPr>
      <w:r>
        <w:rPr>
          <w:sz w:val="22"/>
        </w:rPr>
        <w:t>nezasahovat podstatně do reliéfu terénu (lomy, násypy, hrázemi, zářezy</w:t>
      </w:r>
      <w:r>
        <w:rPr>
          <w:spacing w:val="-14"/>
          <w:sz w:val="22"/>
        </w:rPr>
        <w:t> </w:t>
      </w:r>
      <w:r>
        <w:rPr>
          <w:sz w:val="22"/>
        </w:rPr>
        <w:t>apod.),</w:t>
      </w:r>
    </w:p>
    <w:p>
      <w:pPr>
        <w:pStyle w:val="ListParagraph"/>
        <w:numPr>
          <w:ilvl w:val="0"/>
          <w:numId w:val="2"/>
        </w:numPr>
        <w:tabs>
          <w:tab w:pos="1024" w:val="left" w:leader="none"/>
          <w:tab w:pos="1025" w:val="left" w:leader="none"/>
        </w:tabs>
        <w:spacing w:line="240" w:lineRule="auto" w:before="142" w:after="0"/>
        <w:ind w:left="1024" w:right="145" w:hanging="852"/>
        <w:jc w:val="both"/>
        <w:rPr>
          <w:sz w:val="22"/>
        </w:rPr>
      </w:pPr>
      <w:r>
        <w:rPr>
          <w:sz w:val="22"/>
        </w:rPr>
        <w:t>chránit fragmenty smíšených a listnatých lesů, přirozených smrčin, lesní pláště, rašeliniště, zachovat a podporovat členitost lesních okrajů, nedopustit jejich sukcesní zarůstání v rozporu s</w:t>
      </w:r>
      <w:r>
        <w:rPr>
          <w:spacing w:val="-5"/>
          <w:sz w:val="22"/>
        </w:rPr>
        <w:t> </w:t>
      </w:r>
      <w:r>
        <w:rPr>
          <w:sz w:val="22"/>
        </w:rPr>
        <w:t>LHP,</w:t>
      </w:r>
    </w:p>
    <w:p>
      <w:pPr>
        <w:pStyle w:val="ListParagraph"/>
        <w:numPr>
          <w:ilvl w:val="0"/>
          <w:numId w:val="2"/>
        </w:numPr>
        <w:tabs>
          <w:tab w:pos="1024" w:val="left" w:leader="none"/>
          <w:tab w:pos="1025" w:val="left" w:leader="none"/>
        </w:tabs>
        <w:spacing w:line="240" w:lineRule="auto" w:before="144" w:after="0"/>
        <w:ind w:left="1024" w:right="0" w:hanging="853"/>
        <w:jc w:val="left"/>
        <w:rPr>
          <w:sz w:val="22"/>
        </w:rPr>
      </w:pPr>
      <w:r>
        <w:rPr>
          <w:sz w:val="22"/>
        </w:rPr>
        <w:t>omezit podíl zpevněných lesních cest, zachovat cesty s prašným</w:t>
      </w:r>
      <w:r>
        <w:rPr>
          <w:spacing w:val="-1"/>
          <w:sz w:val="22"/>
        </w:rPr>
        <w:t> </w:t>
      </w:r>
      <w:r>
        <w:rPr>
          <w:sz w:val="22"/>
        </w:rPr>
        <w:t>povrchem,</w:t>
      </w:r>
    </w:p>
    <w:p>
      <w:pPr>
        <w:pStyle w:val="ListParagraph"/>
        <w:numPr>
          <w:ilvl w:val="0"/>
          <w:numId w:val="2"/>
        </w:numPr>
        <w:tabs>
          <w:tab w:pos="1024" w:val="left" w:leader="none"/>
          <w:tab w:pos="1025" w:val="left" w:leader="none"/>
        </w:tabs>
        <w:spacing w:line="240" w:lineRule="auto" w:before="143" w:after="0"/>
        <w:ind w:left="1024" w:right="0" w:hanging="853"/>
        <w:jc w:val="left"/>
        <w:rPr>
          <w:sz w:val="22"/>
        </w:rPr>
      </w:pPr>
      <w:r>
        <w:rPr>
          <w:sz w:val="22"/>
        </w:rPr>
        <w:t>chránit doklady historického vývoje osídlení krajiny včetně drobných památek v</w:t>
      </w:r>
      <w:r>
        <w:rPr>
          <w:spacing w:val="-23"/>
          <w:sz w:val="22"/>
        </w:rPr>
        <w:t> </w:t>
      </w:r>
      <w:r>
        <w:rPr>
          <w:sz w:val="22"/>
        </w:rPr>
        <w:t>krajině.</w:t>
      </w:r>
    </w:p>
    <w:p>
      <w:pPr>
        <w:pStyle w:val="ListParagraph"/>
        <w:numPr>
          <w:ilvl w:val="0"/>
          <w:numId w:val="1"/>
        </w:numPr>
        <w:tabs>
          <w:tab w:pos="1024" w:val="left" w:leader="none"/>
          <w:tab w:pos="1025" w:val="left" w:leader="none"/>
        </w:tabs>
        <w:spacing w:line="242" w:lineRule="auto" w:before="139" w:after="0"/>
        <w:ind w:left="1024" w:right="146" w:hanging="852"/>
        <w:jc w:val="both"/>
        <w:rPr>
          <w:sz w:val="22"/>
        </w:rPr>
      </w:pPr>
      <w:r>
        <w:rPr>
          <w:sz w:val="22"/>
        </w:rPr>
        <w:t>Zachovat přírodní ráz původní </w:t>
      </w:r>
      <w:r>
        <w:rPr>
          <w:b/>
          <w:sz w:val="22"/>
        </w:rPr>
        <w:t>zemědělské krajiny</w:t>
      </w:r>
      <w:r>
        <w:rPr>
          <w:sz w:val="22"/>
        </w:rPr>
        <w:t>, venkovský ráz částí původních sídel v návaznosti na území přírodě blízké, poměrný rozsah a charakter zemědělských pozemků,</w:t>
      </w:r>
    </w:p>
    <w:p>
      <w:pPr>
        <w:pStyle w:val="ListParagraph"/>
        <w:numPr>
          <w:ilvl w:val="0"/>
          <w:numId w:val="2"/>
        </w:numPr>
        <w:tabs>
          <w:tab w:pos="1024" w:val="left" w:leader="none"/>
          <w:tab w:pos="1025" w:val="left" w:leader="none"/>
        </w:tabs>
        <w:spacing w:line="240" w:lineRule="auto" w:before="57" w:after="0"/>
        <w:ind w:left="1024" w:right="146" w:hanging="853"/>
        <w:jc w:val="left"/>
        <w:rPr>
          <w:sz w:val="22"/>
        </w:rPr>
      </w:pPr>
      <w:r>
        <w:rPr>
          <w:sz w:val="22"/>
        </w:rPr>
        <w:t>využívat TTP zejména v přirozených rozlivných prostorech řek pro chov hospodářských zvířat,</w:t>
      </w:r>
    </w:p>
    <w:p>
      <w:pPr>
        <w:pStyle w:val="ListParagraph"/>
        <w:numPr>
          <w:ilvl w:val="0"/>
          <w:numId w:val="2"/>
        </w:numPr>
        <w:tabs>
          <w:tab w:pos="1024" w:val="left" w:leader="none"/>
          <w:tab w:pos="1025" w:val="left" w:leader="none"/>
        </w:tabs>
        <w:spacing w:line="240" w:lineRule="auto" w:before="57" w:after="0"/>
        <w:ind w:left="1024" w:right="0" w:hanging="853"/>
        <w:jc w:val="left"/>
        <w:rPr>
          <w:sz w:val="22"/>
        </w:rPr>
      </w:pPr>
      <w:r>
        <w:rPr>
          <w:sz w:val="22"/>
        </w:rPr>
        <w:t>omezit podíl zpevněných polních cest, zachovat cesty s prašným povrchem,</w:t>
      </w:r>
    </w:p>
    <w:p>
      <w:pPr>
        <w:pStyle w:val="ListParagraph"/>
        <w:numPr>
          <w:ilvl w:val="0"/>
          <w:numId w:val="2"/>
        </w:numPr>
        <w:tabs>
          <w:tab w:pos="1024" w:val="left" w:leader="none"/>
          <w:tab w:pos="1025" w:val="left" w:leader="none"/>
        </w:tabs>
        <w:spacing w:line="240" w:lineRule="auto" w:before="60" w:after="0"/>
        <w:ind w:left="1024" w:right="0" w:hanging="853"/>
        <w:jc w:val="left"/>
        <w:rPr>
          <w:sz w:val="22"/>
        </w:rPr>
      </w:pPr>
      <w:r>
        <w:rPr>
          <w:sz w:val="22"/>
        </w:rPr>
        <w:t>obnovu území podřídit krátkodobému rekreačnímu</w:t>
      </w:r>
      <w:r>
        <w:rPr>
          <w:spacing w:val="-9"/>
          <w:sz w:val="22"/>
        </w:rPr>
        <w:t> </w:t>
      </w:r>
      <w:r>
        <w:rPr>
          <w:sz w:val="22"/>
        </w:rPr>
        <w:t>využití,</w:t>
      </w:r>
    </w:p>
    <w:p>
      <w:pPr>
        <w:pStyle w:val="ListParagraph"/>
        <w:numPr>
          <w:ilvl w:val="0"/>
          <w:numId w:val="2"/>
        </w:numPr>
        <w:tabs>
          <w:tab w:pos="1024" w:val="left" w:leader="none"/>
          <w:tab w:pos="1025" w:val="left" w:leader="none"/>
        </w:tabs>
        <w:spacing w:line="240" w:lineRule="auto" w:before="58" w:after="0"/>
        <w:ind w:left="1024" w:right="146" w:hanging="852"/>
        <w:jc w:val="both"/>
        <w:rPr>
          <w:sz w:val="22"/>
        </w:rPr>
      </w:pPr>
      <w:r>
        <w:rPr>
          <w:sz w:val="22"/>
        </w:rPr>
        <w:t>stavby zde umisťovat tak, aby se nenarušil původní charakter urbanistické </w:t>
      </w:r>
      <w:r>
        <w:rPr>
          <w:spacing w:val="-3"/>
          <w:sz w:val="22"/>
        </w:rPr>
        <w:t>struktury, </w:t>
      </w:r>
      <w:r>
        <w:rPr>
          <w:sz w:val="22"/>
        </w:rPr>
        <w:t>u nových staveb respektovat charakter venkovské </w:t>
      </w:r>
      <w:r>
        <w:rPr>
          <w:spacing w:val="-4"/>
          <w:sz w:val="22"/>
        </w:rPr>
        <w:t>zástavby,</w:t>
      </w:r>
    </w:p>
    <w:p>
      <w:pPr>
        <w:pStyle w:val="ListParagraph"/>
        <w:numPr>
          <w:ilvl w:val="0"/>
          <w:numId w:val="2"/>
        </w:numPr>
        <w:tabs>
          <w:tab w:pos="1024" w:val="left" w:leader="none"/>
          <w:tab w:pos="1025" w:val="left" w:leader="none"/>
        </w:tabs>
        <w:spacing w:line="240" w:lineRule="auto" w:before="60" w:after="0"/>
        <w:ind w:left="1024" w:right="146" w:hanging="852"/>
        <w:jc w:val="both"/>
        <w:rPr>
          <w:sz w:val="22"/>
        </w:rPr>
      </w:pPr>
      <w:r>
        <w:rPr>
          <w:sz w:val="22"/>
        </w:rPr>
        <w:t>chránit a vhodně udržovat typické stavby lidové architektury jako doklady historického vývoje osídlení krajiny včetně drobných památek v</w:t>
      </w:r>
      <w:r>
        <w:rPr>
          <w:spacing w:val="-11"/>
          <w:sz w:val="22"/>
        </w:rPr>
        <w:t> </w:t>
      </w:r>
      <w:r>
        <w:rPr>
          <w:sz w:val="22"/>
        </w:rPr>
        <w:t>krajině.</w:t>
      </w:r>
    </w:p>
    <w:p>
      <w:pPr>
        <w:pStyle w:val="ListParagraph"/>
        <w:numPr>
          <w:ilvl w:val="0"/>
          <w:numId w:val="1"/>
        </w:numPr>
        <w:tabs>
          <w:tab w:pos="1024" w:val="left" w:leader="none"/>
          <w:tab w:pos="1025" w:val="left" w:leader="none"/>
        </w:tabs>
        <w:spacing w:line="240" w:lineRule="auto" w:before="117" w:after="0"/>
        <w:ind w:left="1024" w:right="145" w:hanging="852"/>
        <w:jc w:val="both"/>
        <w:rPr>
          <w:sz w:val="22"/>
        </w:rPr>
      </w:pPr>
      <w:r>
        <w:rPr>
          <w:sz w:val="22"/>
        </w:rPr>
        <w:t>V prostoru </w:t>
      </w:r>
      <w:r>
        <w:rPr>
          <w:b/>
          <w:sz w:val="22"/>
        </w:rPr>
        <w:t>údolí hlavních vodních toků </w:t>
      </w:r>
      <w:r>
        <w:rPr>
          <w:sz w:val="22"/>
        </w:rPr>
        <w:t>v zástavbě města chránit přirozené zelené pásy a využívat je ve vyváženém vztahu mezi požadavky ochrany přírody a potřebami města - zakládat doprovodnou zeleň podél vhodných úseků toku Lužické</w:t>
      </w:r>
      <w:r>
        <w:rPr>
          <w:spacing w:val="-8"/>
          <w:sz w:val="22"/>
        </w:rPr>
        <w:t> </w:t>
      </w:r>
      <w:r>
        <w:rPr>
          <w:spacing w:val="-5"/>
          <w:sz w:val="22"/>
        </w:rPr>
        <w:t>Nisy,</w:t>
      </w:r>
    </w:p>
    <w:p>
      <w:pPr>
        <w:pStyle w:val="ListParagraph"/>
        <w:numPr>
          <w:ilvl w:val="0"/>
          <w:numId w:val="2"/>
        </w:numPr>
        <w:tabs>
          <w:tab w:pos="1024" w:val="left" w:leader="none"/>
          <w:tab w:pos="1025" w:val="left" w:leader="none"/>
        </w:tabs>
        <w:spacing w:line="240" w:lineRule="auto" w:before="62" w:after="0"/>
        <w:ind w:left="1024" w:right="146" w:hanging="852"/>
        <w:jc w:val="both"/>
        <w:rPr>
          <w:sz w:val="22"/>
        </w:rPr>
      </w:pPr>
      <w:r>
        <w:rPr>
          <w:sz w:val="22"/>
        </w:rPr>
        <w:t>v zástavbě zachovat  koryto  toku  s  minimalizací  nových  technických  </w:t>
      </w:r>
      <w:r>
        <w:rPr>
          <w:spacing w:val="-5"/>
          <w:sz w:val="22"/>
        </w:rPr>
        <w:t>úprav,  </w:t>
      </w:r>
      <w:r>
        <w:rPr>
          <w:sz w:val="22"/>
        </w:rPr>
        <w:t>v místech s poškozenými břehovými opevněními tyto</w:t>
      </w:r>
      <w:r>
        <w:rPr>
          <w:spacing w:val="-2"/>
          <w:sz w:val="22"/>
        </w:rPr>
        <w:t> </w:t>
      </w:r>
      <w:r>
        <w:rPr>
          <w:sz w:val="22"/>
        </w:rPr>
        <w:t>opravovat,</w:t>
      </w:r>
    </w:p>
    <w:p>
      <w:pPr>
        <w:pStyle w:val="ListParagraph"/>
        <w:numPr>
          <w:ilvl w:val="0"/>
          <w:numId w:val="2"/>
        </w:numPr>
        <w:tabs>
          <w:tab w:pos="1024" w:val="left" w:leader="none"/>
          <w:tab w:pos="1025" w:val="left" w:leader="none"/>
        </w:tabs>
        <w:spacing w:line="240" w:lineRule="auto" w:before="59" w:after="0"/>
        <w:ind w:left="1024" w:right="0" w:hanging="853"/>
        <w:jc w:val="both"/>
        <w:rPr>
          <w:sz w:val="22"/>
        </w:rPr>
      </w:pPr>
      <w:r>
        <w:rPr>
          <w:sz w:val="22"/>
        </w:rPr>
        <w:t>skloubit řešení brownfields v okolí toků s úpravami</w:t>
      </w:r>
      <w:r>
        <w:rPr>
          <w:spacing w:val="-14"/>
          <w:sz w:val="22"/>
        </w:rPr>
        <w:t> </w:t>
      </w:r>
      <w:r>
        <w:rPr>
          <w:spacing w:val="-3"/>
          <w:sz w:val="22"/>
        </w:rPr>
        <w:t>krajiny,</w:t>
      </w:r>
    </w:p>
    <w:p>
      <w:pPr>
        <w:pStyle w:val="ListParagraph"/>
        <w:numPr>
          <w:ilvl w:val="0"/>
          <w:numId w:val="2"/>
        </w:numPr>
        <w:tabs>
          <w:tab w:pos="1024" w:val="left" w:leader="none"/>
          <w:tab w:pos="1025" w:val="left" w:leader="none"/>
        </w:tabs>
        <w:spacing w:line="240" w:lineRule="auto" w:before="58" w:after="0"/>
        <w:ind w:left="1024" w:right="144" w:hanging="852"/>
        <w:jc w:val="both"/>
        <w:rPr>
          <w:sz w:val="22"/>
        </w:rPr>
      </w:pPr>
      <w:r>
        <w:rPr>
          <w:sz w:val="22"/>
        </w:rPr>
        <w:t>zachovat přírodě blízký charakter koryt ostatních toků při minimalizaci technických úprav břehů - zachovat neregulované části vodních toků a navazující vlhké louky i v zastavěném území okrajových částí</w:t>
      </w:r>
      <w:r>
        <w:rPr>
          <w:spacing w:val="-7"/>
          <w:sz w:val="22"/>
        </w:rPr>
        <w:t> </w:t>
      </w:r>
      <w:r>
        <w:rPr>
          <w:sz w:val="22"/>
        </w:rPr>
        <w:t>města.</w:t>
      </w:r>
    </w:p>
    <w:p>
      <w:pPr>
        <w:pStyle w:val="ListParagraph"/>
        <w:numPr>
          <w:ilvl w:val="0"/>
          <w:numId w:val="1"/>
        </w:numPr>
        <w:tabs>
          <w:tab w:pos="1024" w:val="left" w:leader="none"/>
          <w:tab w:pos="1025" w:val="left" w:leader="none"/>
        </w:tabs>
        <w:spacing w:line="240" w:lineRule="auto" w:before="119" w:after="0"/>
        <w:ind w:left="1024" w:right="145" w:hanging="852"/>
        <w:jc w:val="both"/>
        <w:rPr>
          <w:sz w:val="22"/>
        </w:rPr>
      </w:pPr>
      <w:r>
        <w:rPr>
          <w:sz w:val="22"/>
        </w:rPr>
        <w:t>V </w:t>
      </w:r>
      <w:r>
        <w:rPr>
          <w:b/>
          <w:sz w:val="22"/>
        </w:rPr>
        <w:t>urbanizovaném prostoru </w:t>
      </w:r>
      <w:r>
        <w:rPr>
          <w:sz w:val="22"/>
        </w:rPr>
        <w:t>stávající zástavbu místně doplňovat novými plochami obdobného charakteru, výškovou hladinu zástavby a intenzitu využití ploch směrem k okrajům urbanizovaného území snižovat ve smyslu pozvolného přechodu urbanizačních zásahů do volné krajiny</w:t>
      </w:r>
    </w:p>
    <w:p>
      <w:pPr>
        <w:pStyle w:val="ListParagraph"/>
        <w:numPr>
          <w:ilvl w:val="0"/>
          <w:numId w:val="2"/>
        </w:numPr>
        <w:tabs>
          <w:tab w:pos="1024" w:val="left" w:leader="none"/>
          <w:tab w:pos="1025" w:val="left" w:leader="none"/>
        </w:tabs>
        <w:spacing w:line="240" w:lineRule="auto" w:before="61" w:after="0"/>
        <w:ind w:left="1024" w:right="0" w:hanging="853"/>
        <w:jc w:val="both"/>
        <w:rPr>
          <w:sz w:val="22"/>
        </w:rPr>
      </w:pPr>
      <w:r>
        <w:rPr>
          <w:sz w:val="22"/>
        </w:rPr>
        <w:t>podřizovat novou výstavbu případným požadavkům památkové</w:t>
      </w:r>
      <w:r>
        <w:rPr>
          <w:spacing w:val="-1"/>
          <w:sz w:val="22"/>
        </w:rPr>
        <w:t> </w:t>
      </w:r>
      <w:r>
        <w:rPr>
          <w:sz w:val="22"/>
        </w:rPr>
        <w:t>péče,</w:t>
      </w:r>
    </w:p>
    <w:p>
      <w:pPr>
        <w:pStyle w:val="ListParagraph"/>
        <w:numPr>
          <w:ilvl w:val="0"/>
          <w:numId w:val="2"/>
        </w:numPr>
        <w:tabs>
          <w:tab w:pos="1024" w:val="left" w:leader="none"/>
          <w:tab w:pos="1025" w:val="left" w:leader="none"/>
        </w:tabs>
        <w:spacing w:line="240" w:lineRule="auto" w:before="60" w:after="0"/>
        <w:ind w:left="1024" w:right="147" w:hanging="852"/>
        <w:jc w:val="both"/>
        <w:rPr>
          <w:sz w:val="22"/>
        </w:rPr>
      </w:pPr>
      <w:r>
        <w:rPr>
          <w:sz w:val="22"/>
        </w:rPr>
        <w:t>nepřipouštět výstavbu objemově rozsáhlých staveb vymykajícím se dochovaným harmonickým vztahům ve specifických</w:t>
      </w:r>
      <w:r>
        <w:rPr>
          <w:spacing w:val="-3"/>
          <w:sz w:val="22"/>
        </w:rPr>
        <w:t> </w:t>
      </w:r>
      <w:r>
        <w:rPr>
          <w:sz w:val="22"/>
        </w:rPr>
        <w:t>místech,</w:t>
      </w:r>
    </w:p>
    <w:p>
      <w:pPr>
        <w:pStyle w:val="ListParagraph"/>
        <w:numPr>
          <w:ilvl w:val="0"/>
          <w:numId w:val="2"/>
        </w:numPr>
        <w:tabs>
          <w:tab w:pos="1024" w:val="left" w:leader="none"/>
          <w:tab w:pos="1025" w:val="left" w:leader="none"/>
        </w:tabs>
        <w:spacing w:line="240" w:lineRule="auto" w:before="57" w:after="0"/>
        <w:ind w:left="1024" w:right="146" w:hanging="852"/>
        <w:jc w:val="both"/>
        <w:rPr>
          <w:sz w:val="22"/>
        </w:rPr>
      </w:pPr>
      <w:r>
        <w:rPr>
          <w:sz w:val="22"/>
        </w:rPr>
        <w:t>nepřipouštět výstavbu samostatných areálů větrných a fotovoltaických elektráren na plochách, které mají s ohledem na polohu v urbanistické struktuře a napojení na infrastrukturu vyšší ekonomický</w:t>
      </w:r>
      <w:r>
        <w:rPr>
          <w:spacing w:val="-8"/>
          <w:sz w:val="22"/>
        </w:rPr>
        <w:t> </w:t>
      </w:r>
      <w:r>
        <w:rPr>
          <w:sz w:val="22"/>
        </w:rPr>
        <w:t>potenciál,</w:t>
      </w:r>
    </w:p>
    <w:p>
      <w:pPr>
        <w:pStyle w:val="ListParagraph"/>
        <w:numPr>
          <w:ilvl w:val="0"/>
          <w:numId w:val="2"/>
        </w:numPr>
        <w:tabs>
          <w:tab w:pos="1024" w:val="left" w:leader="none"/>
          <w:tab w:pos="1025" w:val="left" w:leader="none"/>
        </w:tabs>
        <w:spacing w:line="240" w:lineRule="auto" w:before="61" w:after="0"/>
        <w:ind w:left="1024" w:right="145" w:hanging="852"/>
        <w:jc w:val="both"/>
        <w:rPr>
          <w:sz w:val="22"/>
        </w:rPr>
      </w:pPr>
      <w:r>
        <w:rPr>
          <w:sz w:val="22"/>
        </w:rPr>
        <w:t>chránit cenné urbanistické a architektonické znaky města, neumísťovat </w:t>
      </w:r>
      <w:r>
        <w:rPr>
          <w:spacing w:val="-4"/>
          <w:sz w:val="22"/>
        </w:rPr>
        <w:t>prvky, </w:t>
      </w:r>
      <w:r>
        <w:rPr>
          <w:sz w:val="22"/>
        </w:rPr>
        <w:t>které naruší charakteristické </w:t>
      </w:r>
      <w:r>
        <w:rPr>
          <w:spacing w:val="-5"/>
          <w:sz w:val="22"/>
        </w:rPr>
        <w:t>vztahy, </w:t>
      </w:r>
      <w:r>
        <w:rPr>
          <w:sz w:val="22"/>
        </w:rPr>
        <w:t>měřítko, funkci specifických míst a pohledové směry i v interiéru městského</w:t>
      </w:r>
      <w:r>
        <w:rPr>
          <w:spacing w:val="-3"/>
          <w:sz w:val="22"/>
        </w:rPr>
        <w:t> </w:t>
      </w:r>
      <w:r>
        <w:rPr>
          <w:sz w:val="22"/>
        </w:rPr>
        <w:t>prostoru</w:t>
      </w:r>
    </w:p>
    <w:p>
      <w:pPr>
        <w:pStyle w:val="ListParagraph"/>
        <w:numPr>
          <w:ilvl w:val="0"/>
          <w:numId w:val="2"/>
        </w:numPr>
        <w:tabs>
          <w:tab w:pos="1024" w:val="left" w:leader="none"/>
          <w:tab w:pos="1025" w:val="left" w:leader="none"/>
        </w:tabs>
        <w:spacing w:line="240" w:lineRule="auto" w:before="59" w:after="0"/>
        <w:ind w:left="1024" w:right="146" w:hanging="852"/>
        <w:jc w:val="both"/>
        <w:rPr>
          <w:sz w:val="22"/>
        </w:rPr>
      </w:pPr>
      <w:r>
        <w:rPr>
          <w:sz w:val="22"/>
        </w:rPr>
        <w:t>uvnitř urbanizovaného území stabilizovat souvislé zelené pásy pronikající do zástavby z volné krajiny a tvořené strukturou prvků systému sídelní</w:t>
      </w:r>
      <w:r>
        <w:rPr>
          <w:spacing w:val="-15"/>
          <w:sz w:val="22"/>
        </w:rPr>
        <w:t> </w:t>
      </w:r>
      <w:r>
        <w:rPr>
          <w:sz w:val="22"/>
        </w:rPr>
        <w:t>zeleně.</w:t>
      </w:r>
    </w:p>
    <w:p>
      <w:pPr>
        <w:spacing w:after="0" w:line="240" w:lineRule="auto"/>
        <w:jc w:val="both"/>
        <w:rPr>
          <w:sz w:val="22"/>
        </w:rPr>
        <w:sectPr>
          <w:pgSz w:w="11900" w:h="16840"/>
          <w:pgMar w:header="557" w:footer="582" w:top="760" w:bottom="780" w:left="960" w:right="980"/>
        </w:sectPr>
      </w:pPr>
    </w:p>
    <w:p>
      <w:pPr>
        <w:pStyle w:val="BodyText"/>
        <w:spacing w:before="1"/>
        <w:ind w:left="0" w:firstLine="0"/>
        <w:jc w:val="left"/>
      </w:pPr>
    </w:p>
    <w:p>
      <w:pPr>
        <w:pStyle w:val="ListParagraph"/>
        <w:numPr>
          <w:ilvl w:val="0"/>
          <w:numId w:val="1"/>
        </w:numPr>
        <w:tabs>
          <w:tab w:pos="1024" w:val="left" w:leader="none"/>
          <w:tab w:pos="1025" w:val="left" w:leader="none"/>
        </w:tabs>
        <w:spacing w:line="240" w:lineRule="auto" w:before="101" w:after="0"/>
        <w:ind w:left="1024" w:right="0" w:hanging="853"/>
        <w:jc w:val="both"/>
        <w:rPr>
          <w:sz w:val="22"/>
        </w:rPr>
      </w:pPr>
      <w:r>
        <w:rPr>
          <w:sz w:val="22"/>
        </w:rPr>
        <w:t>Zachovat </w:t>
      </w:r>
      <w:r>
        <w:rPr>
          <w:b/>
          <w:sz w:val="22"/>
        </w:rPr>
        <w:t>místa krajinných výhledů </w:t>
      </w:r>
      <w:r>
        <w:rPr>
          <w:sz w:val="22"/>
        </w:rPr>
        <w:t>zejména od výše položených partií a od okrajů</w:t>
      </w:r>
      <w:r>
        <w:rPr>
          <w:spacing w:val="-33"/>
          <w:sz w:val="22"/>
        </w:rPr>
        <w:t> </w:t>
      </w:r>
      <w:r>
        <w:rPr>
          <w:sz w:val="22"/>
        </w:rPr>
        <w:t>lesa:</w:t>
      </w:r>
    </w:p>
    <w:p>
      <w:pPr>
        <w:pStyle w:val="ListParagraph"/>
        <w:numPr>
          <w:ilvl w:val="0"/>
          <w:numId w:val="2"/>
        </w:numPr>
        <w:tabs>
          <w:tab w:pos="1024" w:val="left" w:leader="none"/>
          <w:tab w:pos="1025" w:val="left" w:leader="none"/>
        </w:tabs>
        <w:spacing w:line="240" w:lineRule="auto" w:before="64" w:after="0"/>
        <w:ind w:left="1024" w:right="145" w:hanging="852"/>
        <w:jc w:val="both"/>
        <w:rPr>
          <w:sz w:val="22"/>
        </w:rPr>
      </w:pPr>
      <w:r>
        <w:rPr>
          <w:sz w:val="22"/>
        </w:rPr>
        <w:t>severní část Ještědského hřbetu s vrcholy Dlouhá hora a U tří buků, oba vrcholy Ovčí </w:t>
      </w:r>
      <w:r>
        <w:rPr>
          <w:spacing w:val="-5"/>
          <w:sz w:val="22"/>
        </w:rPr>
        <w:t>hory, </w:t>
      </w:r>
      <w:r>
        <w:rPr>
          <w:sz w:val="22"/>
        </w:rPr>
        <w:t>Kameniště, </w:t>
      </w:r>
      <w:r>
        <w:rPr>
          <w:spacing w:val="-4"/>
          <w:sz w:val="22"/>
        </w:rPr>
        <w:t>Výhledy, </w:t>
      </w:r>
      <w:r>
        <w:rPr>
          <w:sz w:val="22"/>
        </w:rPr>
        <w:t>Chrastavský špičák, Dlouhý kopec, U </w:t>
      </w:r>
      <w:r>
        <w:rPr>
          <w:spacing w:val="-5"/>
          <w:sz w:val="22"/>
        </w:rPr>
        <w:t>břízy, </w:t>
      </w:r>
      <w:r>
        <w:rPr>
          <w:sz w:val="22"/>
        </w:rPr>
        <w:t>Vítkovský kopec, okolí </w:t>
      </w:r>
      <w:r>
        <w:rPr>
          <w:spacing w:val="-3"/>
          <w:sz w:val="22"/>
        </w:rPr>
        <w:t>Lysého </w:t>
      </w:r>
      <w:r>
        <w:rPr>
          <w:sz w:val="22"/>
        </w:rPr>
        <w:t>vrchu (vrchol mimo ř.ú.) a bezlesý hřeben východně od</w:t>
      </w:r>
      <w:r>
        <w:rPr>
          <w:spacing w:val="-10"/>
          <w:sz w:val="22"/>
        </w:rPr>
        <w:t> </w:t>
      </w:r>
      <w:r>
        <w:rPr>
          <w:sz w:val="22"/>
        </w:rPr>
        <w:t>Výhledů.</w:t>
      </w:r>
    </w:p>
    <w:p>
      <w:pPr>
        <w:pStyle w:val="ListParagraph"/>
        <w:numPr>
          <w:ilvl w:val="0"/>
          <w:numId w:val="2"/>
        </w:numPr>
        <w:tabs>
          <w:tab w:pos="1024" w:val="left" w:leader="none"/>
          <w:tab w:pos="1025" w:val="left" w:leader="none"/>
        </w:tabs>
        <w:spacing w:line="240" w:lineRule="auto" w:before="142" w:after="0"/>
        <w:ind w:left="1024" w:right="146" w:hanging="853"/>
        <w:jc w:val="both"/>
        <w:rPr>
          <w:sz w:val="22"/>
        </w:rPr>
      </w:pPr>
      <w:r>
        <w:rPr>
          <w:sz w:val="22"/>
        </w:rPr>
        <w:t>v odůvodněných případech v místech historických výhledů na lesních pozemcích připouštět odlesnění ve směrech</w:t>
      </w:r>
      <w:r>
        <w:rPr>
          <w:spacing w:val="-7"/>
          <w:sz w:val="22"/>
        </w:rPr>
        <w:t> </w:t>
      </w:r>
      <w:r>
        <w:rPr>
          <w:sz w:val="22"/>
        </w:rPr>
        <w:t>výhledů,</w:t>
      </w:r>
    </w:p>
    <w:p>
      <w:pPr>
        <w:pStyle w:val="ListParagraph"/>
        <w:numPr>
          <w:ilvl w:val="0"/>
          <w:numId w:val="2"/>
        </w:numPr>
        <w:tabs>
          <w:tab w:pos="1024" w:val="left" w:leader="none"/>
          <w:tab w:pos="1025" w:val="left" w:leader="none"/>
        </w:tabs>
        <w:spacing w:line="240" w:lineRule="auto" w:before="144" w:after="0"/>
        <w:ind w:left="1024" w:right="148" w:hanging="852"/>
        <w:jc w:val="both"/>
        <w:rPr>
          <w:sz w:val="22"/>
        </w:rPr>
      </w:pPr>
      <w:r>
        <w:rPr>
          <w:sz w:val="22"/>
        </w:rPr>
        <w:t>nové záměry situovat s ohledem na zachování výhledů z těchto míst v pohledech na dominantní prvky Ještědského hřbetu, Jizerských hor či</w:t>
      </w:r>
      <w:r>
        <w:rPr>
          <w:spacing w:val="-14"/>
          <w:sz w:val="22"/>
        </w:rPr>
        <w:t> </w:t>
      </w:r>
      <w:r>
        <w:rPr>
          <w:sz w:val="22"/>
        </w:rPr>
        <w:t>města.</w:t>
      </w:r>
    </w:p>
    <w:p>
      <w:pPr>
        <w:pStyle w:val="ListParagraph"/>
        <w:numPr>
          <w:ilvl w:val="0"/>
          <w:numId w:val="1"/>
        </w:numPr>
        <w:tabs>
          <w:tab w:pos="1024" w:val="left" w:leader="none"/>
          <w:tab w:pos="1025" w:val="left" w:leader="none"/>
        </w:tabs>
        <w:spacing w:line="240" w:lineRule="auto" w:before="117" w:after="0"/>
        <w:ind w:left="1024" w:right="146" w:hanging="852"/>
        <w:jc w:val="both"/>
        <w:rPr>
          <w:sz w:val="22"/>
        </w:rPr>
      </w:pPr>
      <w:r>
        <w:rPr>
          <w:sz w:val="22"/>
        </w:rPr>
        <w:t>Chránit nejvýznamnějšími </w:t>
      </w:r>
      <w:r>
        <w:rPr>
          <w:b/>
          <w:sz w:val="22"/>
        </w:rPr>
        <w:t>výškové stavební dominanty </w:t>
      </w:r>
      <w:r>
        <w:rPr>
          <w:sz w:val="22"/>
        </w:rPr>
        <w:t>před nevhodnými </w:t>
      </w:r>
      <w:r>
        <w:rPr>
          <w:spacing w:val="-4"/>
          <w:sz w:val="22"/>
        </w:rPr>
        <w:t>zásahy,</w:t>
      </w:r>
      <w:r>
        <w:rPr>
          <w:spacing w:val="53"/>
          <w:sz w:val="22"/>
        </w:rPr>
        <w:t> </w:t>
      </w:r>
      <w:r>
        <w:rPr>
          <w:sz w:val="22"/>
        </w:rPr>
        <w:t>chránit výhledy z nich, neumisťovat konkurenční stavby v jejich okolí a omezovat výšku porostů ve směrech výhledů z výše uvedených vyhlídkových bodů i těchto</w:t>
      </w:r>
      <w:r>
        <w:rPr>
          <w:spacing w:val="-22"/>
          <w:sz w:val="22"/>
        </w:rPr>
        <w:t> </w:t>
      </w:r>
      <w:r>
        <w:rPr>
          <w:sz w:val="22"/>
        </w:rPr>
        <w:t>dominant:</w:t>
      </w:r>
    </w:p>
    <w:p>
      <w:pPr>
        <w:pStyle w:val="ListParagraph"/>
        <w:numPr>
          <w:ilvl w:val="0"/>
          <w:numId w:val="2"/>
        </w:numPr>
        <w:tabs>
          <w:tab w:pos="1024" w:val="left" w:leader="none"/>
          <w:tab w:pos="1025" w:val="left" w:leader="none"/>
        </w:tabs>
        <w:spacing w:line="240" w:lineRule="auto" w:before="62" w:after="0"/>
        <w:ind w:left="1024" w:right="0" w:hanging="853"/>
        <w:jc w:val="both"/>
        <w:rPr>
          <w:sz w:val="22"/>
        </w:rPr>
      </w:pPr>
      <w:r>
        <w:rPr>
          <w:sz w:val="22"/>
        </w:rPr>
        <w:t>věže kostelů sv. Vavřince, v Andělské Hoře a v Horním Vítkově, radniční</w:t>
      </w:r>
      <w:r>
        <w:rPr>
          <w:spacing w:val="-13"/>
          <w:sz w:val="22"/>
        </w:rPr>
        <w:t> </w:t>
      </w:r>
      <w:r>
        <w:rPr>
          <w:sz w:val="22"/>
        </w:rPr>
        <w:t>věž.</w:t>
      </w:r>
    </w:p>
    <w:p>
      <w:pPr>
        <w:pStyle w:val="ListParagraph"/>
        <w:numPr>
          <w:ilvl w:val="0"/>
          <w:numId w:val="1"/>
        </w:numPr>
        <w:tabs>
          <w:tab w:pos="1024" w:val="left" w:leader="none"/>
          <w:tab w:pos="1025" w:val="left" w:leader="none"/>
        </w:tabs>
        <w:spacing w:line="240" w:lineRule="auto" w:before="118" w:after="0"/>
        <w:ind w:left="1024" w:right="146" w:hanging="852"/>
        <w:jc w:val="both"/>
        <w:rPr>
          <w:sz w:val="22"/>
        </w:rPr>
      </w:pPr>
      <w:r>
        <w:rPr>
          <w:sz w:val="22"/>
        </w:rPr>
        <w:t>Při rozhodování o případných stavbách potenciálně převyšujících svým objemem nebo výškou okolní zástavbu za účelem zajištění ochrany a rozvoje charakteristického obrazu města prověřit záměr zákresem do fotografií </w:t>
      </w:r>
      <w:r>
        <w:rPr>
          <w:b/>
          <w:sz w:val="22"/>
        </w:rPr>
        <w:t>charakteristických panoramat města</w:t>
      </w:r>
      <w:r>
        <w:rPr>
          <w:sz w:val="22"/>
        </w:rPr>
        <w:t>, do nichž se bude</w:t>
      </w:r>
      <w:r>
        <w:rPr>
          <w:spacing w:val="-3"/>
          <w:sz w:val="22"/>
        </w:rPr>
        <w:t> </w:t>
      </w:r>
      <w:r>
        <w:rPr>
          <w:sz w:val="22"/>
        </w:rPr>
        <w:t>promítat.</w:t>
      </w:r>
    </w:p>
    <w:p>
      <w:pPr>
        <w:pStyle w:val="ListParagraph"/>
        <w:numPr>
          <w:ilvl w:val="0"/>
          <w:numId w:val="1"/>
        </w:numPr>
        <w:tabs>
          <w:tab w:pos="1024" w:val="left" w:leader="none"/>
          <w:tab w:pos="1025" w:val="left" w:leader="none"/>
        </w:tabs>
        <w:spacing w:line="240" w:lineRule="auto" w:before="121" w:after="0"/>
        <w:ind w:left="1024" w:right="146" w:hanging="852"/>
        <w:jc w:val="both"/>
        <w:rPr>
          <w:sz w:val="22"/>
        </w:rPr>
      </w:pPr>
      <w:r>
        <w:rPr>
          <w:sz w:val="22"/>
        </w:rPr>
        <w:t>Při rozhodování o případných stavbách potenciálně převyšujících svým objemem nebo výškou okolní zástavbu za účelem zajištění ochrany a rozvoje charakteristického obrazu města prověřit záměr zákresem do fotografií pořízených </w:t>
      </w:r>
      <w:r>
        <w:rPr>
          <w:b/>
          <w:sz w:val="22"/>
        </w:rPr>
        <w:t>z významných vyhlídkových bodů</w:t>
      </w:r>
      <w:r>
        <w:rPr>
          <w:sz w:val="22"/>
        </w:rPr>
        <w:t>, ze kterých bude záměr</w:t>
      </w:r>
      <w:r>
        <w:rPr>
          <w:spacing w:val="-3"/>
          <w:sz w:val="22"/>
        </w:rPr>
        <w:t> </w:t>
      </w:r>
      <w:r>
        <w:rPr>
          <w:sz w:val="22"/>
        </w:rPr>
        <w:t>viditelný.</w:t>
      </w:r>
    </w:p>
    <w:p>
      <w:pPr>
        <w:pStyle w:val="ListParagraph"/>
        <w:numPr>
          <w:ilvl w:val="0"/>
          <w:numId w:val="1"/>
        </w:numPr>
        <w:tabs>
          <w:tab w:pos="1024" w:val="left" w:leader="none"/>
          <w:tab w:pos="1025" w:val="left" w:leader="none"/>
        </w:tabs>
        <w:spacing w:line="240" w:lineRule="auto" w:before="121" w:after="0"/>
        <w:ind w:left="1024" w:right="144" w:hanging="853"/>
        <w:jc w:val="both"/>
        <w:rPr>
          <w:sz w:val="22"/>
        </w:rPr>
      </w:pPr>
      <w:r>
        <w:rPr>
          <w:sz w:val="22"/>
        </w:rPr>
        <w:t>Chránit prvky vzrostlé zeleně ve volné krajině i v zastavěném území, zachovat celkový podíl ploch nelesní</w:t>
      </w:r>
      <w:r>
        <w:rPr>
          <w:spacing w:val="-4"/>
          <w:sz w:val="22"/>
        </w:rPr>
        <w:t> </w:t>
      </w:r>
      <w:r>
        <w:rPr>
          <w:sz w:val="22"/>
        </w:rPr>
        <w:t>zeleně.</w:t>
      </w:r>
    </w:p>
    <w:p>
      <w:pPr>
        <w:pStyle w:val="ListParagraph"/>
        <w:numPr>
          <w:ilvl w:val="0"/>
          <w:numId w:val="1"/>
        </w:numPr>
        <w:tabs>
          <w:tab w:pos="1024" w:val="left" w:leader="none"/>
          <w:tab w:pos="1025" w:val="left" w:leader="none"/>
        </w:tabs>
        <w:spacing w:line="240" w:lineRule="auto" w:before="118" w:after="0"/>
        <w:ind w:left="1024" w:right="144" w:hanging="852"/>
        <w:jc w:val="both"/>
        <w:rPr>
          <w:sz w:val="22"/>
        </w:rPr>
      </w:pPr>
      <w:r>
        <w:rPr>
          <w:sz w:val="22"/>
        </w:rPr>
        <w:t>Potenciální kolize rozvojových ploch se zvláště chráněnými druhy rostlin a živočichů upřesňovat na základě podmínek pro využití ploch uvedených v tabulkách</w:t>
      </w:r>
      <w:r>
        <w:rPr>
          <w:spacing w:val="22"/>
          <w:sz w:val="22"/>
        </w:rPr>
        <w:t> </w:t>
      </w:r>
      <w:r>
        <w:rPr>
          <w:sz w:val="22"/>
        </w:rPr>
        <w:t>kapitoly</w:t>
      </w:r>
    </w:p>
    <w:p>
      <w:pPr>
        <w:pStyle w:val="BodyText"/>
        <w:ind w:firstLine="0"/>
      </w:pPr>
      <w:r>
        <w:rPr/>
        <w:t>„C.2 Návrh zastavitelných ploch, ploch přestavby a nezastavitelných ploch“:</w:t>
      </w:r>
    </w:p>
    <w:p>
      <w:pPr>
        <w:pStyle w:val="BodyText"/>
        <w:spacing w:before="59"/>
        <w:ind w:right="145" w:firstLine="0"/>
      </w:pPr>
      <w:r>
        <w:rPr/>
        <w:t>„</w:t>
      </w:r>
      <w:r>
        <w:rPr>
          <w:b/>
        </w:rPr>
        <w:t>CH </w:t>
      </w:r>
      <w:r>
        <w:rPr/>
        <w:t>- v dalších stupních projektové přípravy prokázat, že využití plochy neovlivní negativně zvláště chráněné druhy rostlin a živočichů“.</w:t>
      </w:r>
    </w:p>
    <w:p>
      <w:pPr>
        <w:pStyle w:val="ListParagraph"/>
        <w:numPr>
          <w:ilvl w:val="0"/>
          <w:numId w:val="1"/>
        </w:numPr>
        <w:tabs>
          <w:tab w:pos="1024" w:val="left" w:leader="none"/>
          <w:tab w:pos="1025" w:val="left" w:leader="none"/>
        </w:tabs>
        <w:spacing w:line="240" w:lineRule="auto" w:before="123" w:after="0"/>
        <w:ind w:left="1024" w:right="145" w:hanging="852"/>
        <w:jc w:val="both"/>
        <w:rPr>
          <w:sz w:val="22"/>
        </w:rPr>
      </w:pPr>
      <w:r>
        <w:rPr>
          <w:sz w:val="22"/>
        </w:rPr>
        <w:t>Před realizací záměrů s potencionálním zásahem do krajinného rázu bude v rámci následných stupňů projektové přípravy (ÚŘ) povinností stavebníka provádět dle požadavku dotčených orgánů odborné </w:t>
      </w:r>
      <w:r>
        <w:rPr>
          <w:b/>
          <w:sz w:val="22"/>
        </w:rPr>
        <w:t>hodnocení </w:t>
      </w:r>
      <w:r>
        <w:rPr>
          <w:b/>
          <w:spacing w:val="-2"/>
          <w:sz w:val="22"/>
        </w:rPr>
        <w:t>dopadů </w:t>
      </w:r>
      <w:r>
        <w:rPr>
          <w:b/>
          <w:sz w:val="22"/>
        </w:rPr>
        <w:t>na krajinný ráz </w:t>
      </w:r>
      <w:r>
        <w:rPr>
          <w:sz w:val="22"/>
        </w:rPr>
        <w:t>pro každý konkrétní stavební</w:t>
      </w:r>
      <w:r>
        <w:rPr>
          <w:spacing w:val="-7"/>
          <w:sz w:val="22"/>
        </w:rPr>
        <w:t> </w:t>
      </w:r>
      <w:r>
        <w:rPr>
          <w:spacing w:val="-3"/>
          <w:sz w:val="22"/>
        </w:rPr>
        <w:t>záměr.</w:t>
      </w:r>
    </w:p>
    <w:p>
      <w:pPr>
        <w:pStyle w:val="BodyText"/>
        <w:spacing w:before="10"/>
        <w:ind w:left="0" w:firstLine="0"/>
        <w:jc w:val="left"/>
        <w:rPr>
          <w:sz w:val="18"/>
        </w:rPr>
      </w:pPr>
      <w:r>
        <w:rPr/>
        <w:pict>
          <v:shape style="position:absolute;margin-left:55.199997pt;margin-top:12.051004pt;width:484.7pt;height:15pt;mso-position-horizontal-relative:page;mso-position-vertical-relative:paragraph;z-index:-15717376;mso-wrap-distance-left:0;mso-wrap-distance-right:0" type="#_x0000_t202" filled="true" fillcolor="#ccffff" stroked="false">
            <v:textbox inset="0,0,0,0">
              <w:txbxContent>
                <w:p>
                  <w:pPr>
                    <w:tabs>
                      <w:tab w:pos="880" w:val="left" w:leader="none"/>
                    </w:tabs>
                    <w:spacing w:line="295" w:lineRule="exact" w:before="0"/>
                    <w:ind w:left="28" w:right="0" w:firstLine="0"/>
                    <w:jc w:val="left"/>
                    <w:rPr>
                      <w:b/>
                      <w:sz w:val="26"/>
                    </w:rPr>
                  </w:pPr>
                  <w:r>
                    <w:rPr>
                      <w:b/>
                      <w:sz w:val="26"/>
                    </w:rPr>
                    <w:t>E.2</w:t>
                    <w:tab/>
                    <w:t>ÚZEMNÍ SYSTÉM EKOLOGICKÉ</w:t>
                  </w:r>
                  <w:r>
                    <w:rPr>
                      <w:b/>
                      <w:spacing w:val="-1"/>
                      <w:sz w:val="26"/>
                    </w:rPr>
                    <w:t> </w:t>
                  </w:r>
                  <w:r>
                    <w:rPr>
                      <w:b/>
                      <w:sz w:val="26"/>
                    </w:rPr>
                    <w:t>STABILITY</w:t>
                  </w:r>
                </w:p>
              </w:txbxContent>
            </v:textbox>
            <v:fill type="solid"/>
            <w10:wrap type="topAndBottom"/>
          </v:shape>
        </w:pict>
      </w:r>
    </w:p>
    <w:p>
      <w:pPr>
        <w:pStyle w:val="ListParagraph"/>
        <w:numPr>
          <w:ilvl w:val="0"/>
          <w:numId w:val="1"/>
        </w:numPr>
        <w:tabs>
          <w:tab w:pos="1024" w:val="left" w:leader="none"/>
          <w:tab w:pos="1025" w:val="left" w:leader="none"/>
        </w:tabs>
        <w:spacing w:line="240" w:lineRule="auto" w:before="62" w:after="0"/>
        <w:ind w:left="1024" w:right="147" w:hanging="853"/>
        <w:jc w:val="both"/>
        <w:rPr>
          <w:sz w:val="22"/>
        </w:rPr>
      </w:pPr>
      <w:r>
        <w:rPr>
          <w:sz w:val="22"/>
        </w:rPr>
        <w:t>Základem revitalizace zemědělské krajiny bude na základě tohoto ÚP zpracovaný podrobný projekt Územního systému ekologické stability, na nějž naváže detailnější reorganizace a ozelenění krajiny v rámci </w:t>
      </w:r>
      <w:r>
        <w:rPr>
          <w:b/>
          <w:sz w:val="22"/>
        </w:rPr>
        <w:t>komplexních pozemkových</w:t>
      </w:r>
      <w:r>
        <w:rPr>
          <w:b/>
          <w:spacing w:val="-16"/>
          <w:sz w:val="22"/>
        </w:rPr>
        <w:t> </w:t>
      </w:r>
      <w:r>
        <w:rPr>
          <w:b/>
          <w:sz w:val="22"/>
        </w:rPr>
        <w:t>úprav</w:t>
      </w:r>
      <w:r>
        <w:rPr>
          <w:sz w:val="22"/>
        </w:rPr>
        <w:t>.</w:t>
      </w:r>
    </w:p>
    <w:p>
      <w:pPr>
        <w:pStyle w:val="ListParagraph"/>
        <w:numPr>
          <w:ilvl w:val="0"/>
          <w:numId w:val="1"/>
        </w:numPr>
        <w:tabs>
          <w:tab w:pos="1024" w:val="left" w:leader="none"/>
          <w:tab w:pos="1025" w:val="left" w:leader="none"/>
        </w:tabs>
        <w:spacing w:line="244" w:lineRule="auto" w:before="117" w:after="0"/>
        <w:ind w:left="1024" w:right="147" w:hanging="853"/>
        <w:jc w:val="both"/>
        <w:rPr>
          <w:sz w:val="22"/>
        </w:rPr>
      </w:pPr>
      <w:r>
        <w:rPr>
          <w:sz w:val="22"/>
        </w:rPr>
        <w:t>Vymezuje se územní systém ekologické stability (</w:t>
      </w:r>
      <w:r>
        <w:rPr>
          <w:b/>
          <w:sz w:val="22"/>
        </w:rPr>
        <w:t>ÚSES</w:t>
      </w:r>
      <w:r>
        <w:rPr>
          <w:sz w:val="22"/>
        </w:rPr>
        <w:t>, systém) tvořený zde biocentry, biokoridory nadregionálního, regionálního a místního biogeografického</w:t>
      </w:r>
      <w:r>
        <w:rPr>
          <w:spacing w:val="-11"/>
          <w:sz w:val="22"/>
        </w:rPr>
        <w:t> </w:t>
      </w:r>
      <w:r>
        <w:rPr>
          <w:sz w:val="22"/>
        </w:rPr>
        <w:t>významu.</w:t>
      </w:r>
    </w:p>
    <w:p>
      <w:pPr>
        <w:pStyle w:val="Heading2"/>
        <w:numPr>
          <w:ilvl w:val="2"/>
          <w:numId w:val="10"/>
        </w:numPr>
        <w:tabs>
          <w:tab w:pos="1024" w:val="left" w:leader="none"/>
          <w:tab w:pos="1025" w:val="left" w:leader="none"/>
        </w:tabs>
        <w:spacing w:line="240" w:lineRule="auto" w:before="171" w:after="0"/>
        <w:ind w:left="1024" w:right="0" w:hanging="853"/>
        <w:jc w:val="left"/>
      </w:pPr>
      <w:r>
        <w:rPr/>
        <w:t>SYSTÉM NADREGIONÁLNÍHO BIOGEOGRAFICKÉHO</w:t>
      </w:r>
      <w:r>
        <w:rPr>
          <w:spacing w:val="-3"/>
        </w:rPr>
        <w:t> </w:t>
      </w:r>
      <w:r>
        <w:rPr/>
        <w:t>VÝZNAMU</w:t>
      </w:r>
    </w:p>
    <w:p>
      <w:pPr>
        <w:pStyle w:val="Heading3"/>
        <w:spacing w:before="120"/>
      </w:pPr>
      <w:r>
        <w:rPr/>
        <w:t>BIOKORIDORY FUNKČNÍ:</w:t>
      </w:r>
    </w:p>
    <w:p>
      <w:pPr>
        <w:pStyle w:val="ListParagraph"/>
        <w:numPr>
          <w:ilvl w:val="0"/>
          <w:numId w:val="1"/>
        </w:numPr>
        <w:tabs>
          <w:tab w:pos="1024" w:val="left" w:leader="none"/>
          <w:tab w:pos="1025" w:val="left" w:leader="none"/>
        </w:tabs>
        <w:spacing w:line="240" w:lineRule="auto" w:before="81" w:after="0"/>
        <w:ind w:left="1024" w:right="146" w:hanging="853"/>
        <w:jc w:val="both"/>
        <w:rPr>
          <w:sz w:val="22"/>
        </w:rPr>
      </w:pPr>
      <w:r>
        <w:rPr>
          <w:sz w:val="22"/>
        </w:rPr>
        <w:t>Část trasy nadregionálního biokoridoru K 19MB (mezofilně bučinná trasa), tvořeného zde úsekem 33/158 a v trase vloženým regionálním biocentrem 33-RC1271 a částí vloženého místního biocentra</w:t>
      </w:r>
      <w:r>
        <w:rPr>
          <w:spacing w:val="-1"/>
          <w:sz w:val="22"/>
        </w:rPr>
        <w:t> </w:t>
      </w:r>
      <w:r>
        <w:rPr>
          <w:sz w:val="22"/>
        </w:rPr>
        <w:t>159.</w:t>
      </w:r>
    </w:p>
    <w:p>
      <w:pPr>
        <w:pStyle w:val="Heading2"/>
        <w:numPr>
          <w:ilvl w:val="2"/>
          <w:numId w:val="10"/>
        </w:numPr>
        <w:tabs>
          <w:tab w:pos="1024" w:val="left" w:leader="none"/>
          <w:tab w:pos="1025" w:val="left" w:leader="none"/>
        </w:tabs>
        <w:spacing w:line="240" w:lineRule="auto" w:before="180" w:after="0"/>
        <w:ind w:left="1024" w:right="0" w:hanging="853"/>
        <w:jc w:val="left"/>
      </w:pPr>
      <w:r>
        <w:rPr/>
        <w:t>SYSTÉM REGIONÁLNÍHO BIOGEOGRAFICKÉHO</w:t>
      </w:r>
      <w:r>
        <w:rPr>
          <w:spacing w:val="-2"/>
        </w:rPr>
        <w:t> </w:t>
      </w:r>
      <w:r>
        <w:rPr/>
        <w:t>VÝZNAMU</w:t>
      </w:r>
    </w:p>
    <w:p>
      <w:pPr>
        <w:pStyle w:val="Heading3"/>
        <w:spacing w:before="118"/>
      </w:pPr>
      <w:r>
        <w:rPr/>
        <w:t>BIOCENTRA FUNKČNÍ:</w:t>
      </w:r>
    </w:p>
    <w:p>
      <w:pPr>
        <w:pStyle w:val="ListParagraph"/>
        <w:numPr>
          <w:ilvl w:val="0"/>
          <w:numId w:val="1"/>
        </w:numPr>
        <w:tabs>
          <w:tab w:pos="1024" w:val="left" w:leader="none"/>
          <w:tab w:pos="1025" w:val="left" w:leader="none"/>
        </w:tabs>
        <w:spacing w:line="240" w:lineRule="auto" w:before="83" w:after="0"/>
        <w:ind w:left="1024" w:right="0" w:hanging="853"/>
        <w:jc w:val="left"/>
        <w:rPr>
          <w:sz w:val="22"/>
        </w:rPr>
      </w:pPr>
      <w:r>
        <w:rPr>
          <w:sz w:val="22"/>
        </w:rPr>
        <w:t>Biocentrum 33-RC1271 (v trase nadregionálního biokoridoru K</w:t>
      </w:r>
      <w:r>
        <w:rPr>
          <w:spacing w:val="-9"/>
          <w:sz w:val="22"/>
        </w:rPr>
        <w:t> </w:t>
      </w:r>
      <w:r>
        <w:rPr>
          <w:sz w:val="22"/>
        </w:rPr>
        <w:t>19MB).</w:t>
      </w:r>
    </w:p>
    <w:p>
      <w:pPr>
        <w:spacing w:after="0" w:line="240" w:lineRule="auto"/>
        <w:jc w:val="left"/>
        <w:rPr>
          <w:sz w:val="22"/>
        </w:rPr>
        <w:sectPr>
          <w:pgSz w:w="11900" w:h="16840"/>
          <w:pgMar w:header="557" w:footer="582" w:top="760" w:bottom="780" w:left="960" w:right="980"/>
        </w:sectPr>
      </w:pPr>
    </w:p>
    <w:p>
      <w:pPr>
        <w:pStyle w:val="BodyText"/>
        <w:spacing w:before="1"/>
        <w:ind w:left="0" w:firstLine="0"/>
        <w:jc w:val="left"/>
      </w:pPr>
    </w:p>
    <w:p>
      <w:pPr>
        <w:pStyle w:val="Heading3"/>
        <w:spacing w:before="101"/>
      </w:pPr>
      <w:r>
        <w:rPr/>
        <w:t>BIOKORIDORY FUNKČNÍ:</w:t>
      </w:r>
    </w:p>
    <w:p>
      <w:pPr>
        <w:pStyle w:val="ListParagraph"/>
        <w:numPr>
          <w:ilvl w:val="0"/>
          <w:numId w:val="1"/>
        </w:numPr>
        <w:tabs>
          <w:tab w:pos="1024" w:val="left" w:leader="none"/>
          <w:tab w:pos="1025" w:val="left" w:leader="none"/>
        </w:tabs>
        <w:spacing w:line="240" w:lineRule="auto" w:before="83" w:after="0"/>
        <w:ind w:left="1024" w:right="147" w:hanging="852"/>
        <w:jc w:val="left"/>
        <w:rPr>
          <w:sz w:val="22"/>
        </w:rPr>
      </w:pPr>
      <w:r>
        <w:rPr>
          <w:sz w:val="22"/>
        </w:rPr>
        <w:t>Část trasy regionálního biokoridoru RK 640 tvořeného zde úseky 10/504, 506/507, 507/508, 508/509 a 509/540 a vloženými místními biocentry 506, 507, 508 a</w:t>
      </w:r>
      <w:r>
        <w:rPr>
          <w:spacing w:val="-22"/>
          <w:sz w:val="22"/>
        </w:rPr>
        <w:t> </w:t>
      </w:r>
      <w:r>
        <w:rPr>
          <w:sz w:val="22"/>
        </w:rPr>
        <w:t>509.</w:t>
      </w:r>
    </w:p>
    <w:p>
      <w:pPr>
        <w:pStyle w:val="Heading2"/>
        <w:numPr>
          <w:ilvl w:val="2"/>
          <w:numId w:val="10"/>
        </w:numPr>
        <w:tabs>
          <w:tab w:pos="1024" w:val="left" w:leader="none"/>
          <w:tab w:pos="1025" w:val="left" w:leader="none"/>
        </w:tabs>
        <w:spacing w:line="240" w:lineRule="auto" w:before="179" w:after="0"/>
        <w:ind w:left="1024" w:right="0" w:hanging="853"/>
        <w:jc w:val="left"/>
      </w:pPr>
      <w:r>
        <w:rPr/>
        <w:t>SYSTÉM MÍSTNÍHO BIOGEOGRAFICKÉHO</w:t>
      </w:r>
      <w:r>
        <w:rPr>
          <w:spacing w:val="1"/>
        </w:rPr>
        <w:t> </w:t>
      </w:r>
      <w:r>
        <w:rPr/>
        <w:t>VÝZNAMU</w:t>
      </w:r>
    </w:p>
    <w:p>
      <w:pPr>
        <w:pStyle w:val="Heading3"/>
        <w:spacing w:before="120"/>
      </w:pPr>
      <w:r>
        <w:rPr/>
        <w:t>BIOCENTRA FUNKČNÍ:</w:t>
      </w:r>
    </w:p>
    <w:p>
      <w:pPr>
        <w:pStyle w:val="ListParagraph"/>
        <w:numPr>
          <w:ilvl w:val="0"/>
          <w:numId w:val="1"/>
        </w:numPr>
        <w:tabs>
          <w:tab w:pos="1024" w:val="left" w:leader="none"/>
          <w:tab w:pos="1025" w:val="left" w:leader="none"/>
        </w:tabs>
        <w:spacing w:line="240" w:lineRule="auto" w:before="81" w:after="0"/>
        <w:ind w:left="1024" w:right="0" w:hanging="853"/>
        <w:jc w:val="left"/>
        <w:rPr>
          <w:sz w:val="22"/>
        </w:rPr>
      </w:pPr>
      <w:r>
        <w:rPr>
          <w:sz w:val="22"/>
        </w:rPr>
        <w:t>Biocentra</w:t>
      </w:r>
      <w:r>
        <w:rPr>
          <w:spacing w:val="19"/>
          <w:sz w:val="22"/>
        </w:rPr>
        <w:t> </w:t>
      </w:r>
      <w:r>
        <w:rPr>
          <w:sz w:val="22"/>
        </w:rPr>
        <w:t>(či</w:t>
      </w:r>
      <w:r>
        <w:rPr>
          <w:spacing w:val="17"/>
          <w:sz w:val="22"/>
        </w:rPr>
        <w:t> </w:t>
      </w:r>
      <w:r>
        <w:rPr>
          <w:sz w:val="22"/>
        </w:rPr>
        <w:t>jejich</w:t>
      </w:r>
      <w:r>
        <w:rPr>
          <w:spacing w:val="19"/>
          <w:sz w:val="22"/>
        </w:rPr>
        <w:t> </w:t>
      </w:r>
      <w:r>
        <w:rPr>
          <w:sz w:val="22"/>
        </w:rPr>
        <w:t>části)</w:t>
      </w:r>
      <w:r>
        <w:rPr>
          <w:spacing w:val="19"/>
          <w:sz w:val="22"/>
        </w:rPr>
        <w:t> </w:t>
      </w:r>
      <w:r>
        <w:rPr>
          <w:sz w:val="22"/>
        </w:rPr>
        <w:t>1248,</w:t>
      </w:r>
      <w:r>
        <w:rPr>
          <w:spacing w:val="20"/>
          <w:sz w:val="22"/>
        </w:rPr>
        <w:t> </w:t>
      </w:r>
      <w:r>
        <w:rPr>
          <w:sz w:val="22"/>
        </w:rPr>
        <w:t>1249,</w:t>
      </w:r>
      <w:r>
        <w:rPr>
          <w:spacing w:val="21"/>
          <w:sz w:val="22"/>
        </w:rPr>
        <w:t> </w:t>
      </w:r>
      <w:r>
        <w:rPr>
          <w:sz w:val="22"/>
        </w:rPr>
        <w:t>1251,</w:t>
      </w:r>
      <w:r>
        <w:rPr>
          <w:spacing w:val="20"/>
          <w:sz w:val="22"/>
        </w:rPr>
        <w:t> </w:t>
      </w:r>
      <w:r>
        <w:rPr>
          <w:sz w:val="22"/>
        </w:rPr>
        <w:t>1252,</w:t>
      </w:r>
      <w:r>
        <w:rPr>
          <w:spacing w:val="21"/>
          <w:sz w:val="22"/>
        </w:rPr>
        <w:t> </w:t>
      </w:r>
      <w:r>
        <w:rPr>
          <w:sz w:val="22"/>
        </w:rPr>
        <w:t>1254,</w:t>
      </w:r>
      <w:r>
        <w:rPr>
          <w:spacing w:val="20"/>
          <w:sz w:val="22"/>
        </w:rPr>
        <w:t> </w:t>
      </w:r>
      <w:r>
        <w:rPr>
          <w:sz w:val="22"/>
        </w:rPr>
        <w:t>1256,</w:t>
      </w:r>
      <w:r>
        <w:rPr>
          <w:spacing w:val="21"/>
          <w:sz w:val="22"/>
        </w:rPr>
        <w:t> </w:t>
      </w:r>
      <w:r>
        <w:rPr>
          <w:sz w:val="22"/>
        </w:rPr>
        <w:t>1257,</w:t>
      </w:r>
      <w:r>
        <w:rPr>
          <w:spacing w:val="20"/>
          <w:sz w:val="22"/>
        </w:rPr>
        <w:t> </w:t>
      </w:r>
      <w:r>
        <w:rPr>
          <w:sz w:val="22"/>
        </w:rPr>
        <w:t>1262,</w:t>
      </w:r>
      <w:r>
        <w:rPr>
          <w:spacing w:val="21"/>
          <w:sz w:val="22"/>
        </w:rPr>
        <w:t> </w:t>
      </w:r>
      <w:r>
        <w:rPr>
          <w:sz w:val="22"/>
        </w:rPr>
        <w:t>1263,</w:t>
      </w:r>
      <w:r>
        <w:rPr>
          <w:spacing w:val="20"/>
          <w:sz w:val="22"/>
        </w:rPr>
        <w:t> </w:t>
      </w:r>
      <w:r>
        <w:rPr>
          <w:sz w:val="22"/>
        </w:rPr>
        <w:t>1393,</w:t>
      </w:r>
    </w:p>
    <w:p>
      <w:pPr>
        <w:pStyle w:val="BodyText"/>
        <w:spacing w:before="1"/>
        <w:ind w:firstLine="0"/>
        <w:jc w:val="left"/>
      </w:pPr>
      <w:r>
        <w:rPr/>
        <w:t>1399, 14000, 1402, 1403, 1404, 1405 a 1462,.</w:t>
      </w:r>
    </w:p>
    <w:p>
      <w:pPr>
        <w:pStyle w:val="Heading3"/>
      </w:pPr>
      <w:r>
        <w:rPr/>
        <w:t>BIOKORIDORY FUNKČNÍ:</w:t>
      </w:r>
    </w:p>
    <w:p>
      <w:pPr>
        <w:pStyle w:val="ListParagraph"/>
        <w:numPr>
          <w:ilvl w:val="0"/>
          <w:numId w:val="1"/>
        </w:numPr>
        <w:tabs>
          <w:tab w:pos="1024" w:val="left" w:leader="none"/>
          <w:tab w:pos="1025" w:val="left" w:leader="none"/>
        </w:tabs>
        <w:spacing w:line="240" w:lineRule="auto" w:before="83" w:after="0"/>
        <w:ind w:left="1024" w:right="147" w:hanging="852"/>
        <w:jc w:val="left"/>
        <w:rPr>
          <w:sz w:val="22"/>
        </w:rPr>
      </w:pPr>
      <w:r>
        <w:rPr>
          <w:sz w:val="22"/>
        </w:rPr>
        <w:t>Biokoridory (či jejich části) 10/1263, 33/1263, 507/1462, 1248/1249, 1248/1394, 1249/1251, 1251/1257, 1254/1405, 1256/1257, 1257/1263, 1262/1264,</w:t>
      </w:r>
      <w:r>
        <w:rPr>
          <w:spacing w:val="60"/>
          <w:sz w:val="22"/>
        </w:rPr>
        <w:t> </w:t>
      </w:r>
      <w:r>
        <w:rPr>
          <w:sz w:val="22"/>
        </w:rPr>
        <w:t>1392/1393,</w:t>
      </w:r>
    </w:p>
    <w:p>
      <w:pPr>
        <w:pStyle w:val="BodyText"/>
        <w:ind w:firstLine="0"/>
        <w:jc w:val="left"/>
      </w:pPr>
      <w:r>
        <w:rPr/>
        <w:t>1400/1402, 1402/1403, 1402/1404, 1403/1248/1249, 1404/1405.</w:t>
      </w:r>
    </w:p>
    <w:p>
      <w:pPr>
        <w:pStyle w:val="Heading3"/>
      </w:pPr>
      <w:r>
        <w:rPr/>
        <w:t>BIOCENTRA NEFUNKČNÍ A ČÁSTEČNĚ FUNKČNÍ:</w:t>
      </w:r>
    </w:p>
    <w:p>
      <w:pPr>
        <w:pStyle w:val="ListParagraph"/>
        <w:numPr>
          <w:ilvl w:val="0"/>
          <w:numId w:val="1"/>
        </w:numPr>
        <w:tabs>
          <w:tab w:pos="1024" w:val="left" w:leader="none"/>
          <w:tab w:pos="1025" w:val="left" w:leader="none"/>
        </w:tabs>
        <w:spacing w:line="240" w:lineRule="auto" w:before="83" w:after="0"/>
        <w:ind w:left="1025" w:right="148" w:hanging="852"/>
        <w:jc w:val="left"/>
        <w:rPr>
          <w:sz w:val="22"/>
        </w:rPr>
      </w:pPr>
      <w:r>
        <w:rPr>
          <w:sz w:val="22"/>
        </w:rPr>
        <w:t>Budou realizovány dosud nefunkční prvky systému ve vymezených plochách zařazených do veřejně prospěšných</w:t>
      </w:r>
      <w:r>
        <w:rPr>
          <w:spacing w:val="-2"/>
          <w:sz w:val="22"/>
        </w:rPr>
        <w:t> </w:t>
      </w:r>
      <w:r>
        <w:rPr>
          <w:sz w:val="22"/>
        </w:rPr>
        <w:t>opatření.</w:t>
      </w:r>
    </w:p>
    <w:p>
      <w:pPr>
        <w:pStyle w:val="ListParagraph"/>
        <w:numPr>
          <w:ilvl w:val="0"/>
          <w:numId w:val="2"/>
        </w:numPr>
        <w:tabs>
          <w:tab w:pos="1024" w:val="left" w:leader="none"/>
          <w:tab w:pos="1025" w:val="left" w:leader="none"/>
        </w:tabs>
        <w:spacing w:line="240" w:lineRule="auto" w:before="58" w:after="0"/>
        <w:ind w:left="1025" w:right="0" w:hanging="852"/>
        <w:jc w:val="left"/>
        <w:rPr>
          <w:sz w:val="22"/>
        </w:rPr>
      </w:pPr>
      <w:r>
        <w:rPr>
          <w:b/>
          <w:sz w:val="22"/>
        </w:rPr>
        <w:t>BC 1254 část </w:t>
      </w:r>
      <w:r>
        <w:rPr>
          <w:sz w:val="22"/>
        </w:rPr>
        <w:t>– plocha 86.N, plochy přírodní</w:t>
      </w:r>
      <w:r>
        <w:rPr>
          <w:spacing w:val="-8"/>
          <w:sz w:val="22"/>
        </w:rPr>
        <w:t> </w:t>
      </w:r>
      <w:r>
        <w:rPr>
          <w:sz w:val="22"/>
        </w:rPr>
        <w:t>nelesní</w:t>
      </w:r>
    </w:p>
    <w:p>
      <w:pPr>
        <w:pStyle w:val="Heading3"/>
        <w:spacing w:before="118"/>
        <w:ind w:left="1025"/>
      </w:pPr>
      <w:r>
        <w:rPr/>
        <w:t>BIOKORIDORY NEFUNKČNÍ A ČÁSTEČNĚ FUNKČNÍ (NAVRŽENÉ K REALIZACI):</w:t>
      </w:r>
    </w:p>
    <w:p>
      <w:pPr>
        <w:pStyle w:val="ListParagraph"/>
        <w:numPr>
          <w:ilvl w:val="0"/>
          <w:numId w:val="1"/>
        </w:numPr>
        <w:tabs>
          <w:tab w:pos="1024" w:val="left" w:leader="none"/>
          <w:tab w:pos="1026" w:val="left" w:leader="none"/>
        </w:tabs>
        <w:spacing w:line="240" w:lineRule="auto" w:before="83" w:after="0"/>
        <w:ind w:left="1025" w:right="148" w:hanging="852"/>
        <w:jc w:val="left"/>
        <w:rPr>
          <w:sz w:val="22"/>
        </w:rPr>
      </w:pPr>
      <w:r>
        <w:rPr>
          <w:sz w:val="22"/>
        </w:rPr>
        <w:t>Budou realizovány dosud nefunkční prvky systému ve vymezených plochách zařazených do veřejně prospěšných</w:t>
      </w:r>
      <w:r>
        <w:rPr>
          <w:spacing w:val="-2"/>
          <w:sz w:val="22"/>
        </w:rPr>
        <w:t> </w:t>
      </w:r>
      <w:r>
        <w:rPr>
          <w:sz w:val="22"/>
        </w:rPr>
        <w:t>opatření.</w:t>
      </w:r>
    </w:p>
    <w:p>
      <w:pPr>
        <w:pStyle w:val="Heading3"/>
        <w:tabs>
          <w:tab w:pos="1024" w:val="left" w:leader="none"/>
        </w:tabs>
        <w:spacing w:before="58"/>
        <w:ind w:left="173"/>
        <w:rPr>
          <w:b w:val="0"/>
        </w:rPr>
      </w:pPr>
      <w:r>
        <w:rPr>
          <w:rFonts w:ascii="Times New Roman" w:hAnsi="Times New Roman"/>
          <w:b w:val="0"/>
        </w:rPr>
        <w:t>-</w:t>
        <w:tab/>
      </w:r>
      <w:r>
        <w:rPr/>
        <w:t>BK 1254/1405</w:t>
      </w:r>
      <w:r>
        <w:rPr>
          <w:spacing w:val="-1"/>
        </w:rPr>
        <w:t> </w:t>
      </w:r>
      <w:r>
        <w:rPr/>
        <w:t>část</w:t>
      </w:r>
      <w:r>
        <w:rPr>
          <w:b w:val="0"/>
        </w:rPr>
        <w:t>,</w:t>
      </w:r>
    </w:p>
    <w:p>
      <w:pPr>
        <w:tabs>
          <w:tab w:pos="1024" w:val="left" w:leader="none"/>
        </w:tabs>
        <w:spacing w:before="58"/>
        <w:ind w:left="173" w:right="0" w:firstLine="0"/>
        <w:jc w:val="left"/>
        <w:rPr>
          <w:sz w:val="22"/>
        </w:rPr>
      </w:pPr>
      <w:r>
        <w:rPr>
          <w:rFonts w:ascii="Times New Roman"/>
          <w:sz w:val="22"/>
        </w:rPr>
        <w:t>-</w:t>
        <w:tab/>
      </w:r>
      <w:r>
        <w:rPr>
          <w:b/>
          <w:sz w:val="22"/>
        </w:rPr>
        <w:t>BK</w:t>
      </w:r>
      <w:r>
        <w:rPr>
          <w:b/>
          <w:spacing w:val="-1"/>
          <w:sz w:val="22"/>
        </w:rPr>
        <w:t> </w:t>
      </w:r>
      <w:r>
        <w:rPr>
          <w:b/>
          <w:sz w:val="22"/>
        </w:rPr>
        <w:t>1248/1249</w:t>
      </w:r>
      <w:r>
        <w:rPr>
          <w:sz w:val="22"/>
        </w:rPr>
        <w:t>,</w:t>
      </w:r>
    </w:p>
    <w:p>
      <w:pPr>
        <w:tabs>
          <w:tab w:pos="1024" w:val="left" w:leader="none"/>
        </w:tabs>
        <w:spacing w:before="58"/>
        <w:ind w:left="173" w:right="0" w:firstLine="0"/>
        <w:jc w:val="left"/>
        <w:rPr>
          <w:sz w:val="22"/>
        </w:rPr>
      </w:pPr>
      <w:r>
        <w:rPr>
          <w:rFonts w:ascii="Times New Roman" w:hAnsi="Times New Roman"/>
          <w:sz w:val="22"/>
        </w:rPr>
        <w:t>-</w:t>
        <w:tab/>
      </w:r>
      <w:r>
        <w:rPr>
          <w:b/>
          <w:sz w:val="22"/>
        </w:rPr>
        <w:t>BK 1403/1248/1249</w:t>
      </w:r>
      <w:r>
        <w:rPr>
          <w:b/>
          <w:spacing w:val="-3"/>
          <w:sz w:val="22"/>
        </w:rPr>
        <w:t> </w:t>
      </w:r>
      <w:r>
        <w:rPr>
          <w:b/>
          <w:sz w:val="22"/>
        </w:rPr>
        <w:t>část</w:t>
      </w:r>
      <w:r>
        <w:rPr>
          <w:sz w:val="22"/>
        </w:rPr>
        <w:t>,</w:t>
      </w:r>
    </w:p>
    <w:p>
      <w:pPr>
        <w:tabs>
          <w:tab w:pos="1024" w:val="left" w:leader="none"/>
        </w:tabs>
        <w:spacing w:before="61"/>
        <w:ind w:left="173" w:right="0" w:firstLine="0"/>
        <w:jc w:val="left"/>
        <w:rPr>
          <w:sz w:val="22"/>
        </w:rPr>
      </w:pPr>
      <w:r>
        <w:rPr>
          <w:rFonts w:ascii="Times New Roman" w:hAnsi="Times New Roman"/>
          <w:sz w:val="22"/>
        </w:rPr>
        <w:t>-</w:t>
        <w:tab/>
      </w:r>
      <w:r>
        <w:rPr>
          <w:b/>
          <w:sz w:val="22"/>
        </w:rPr>
        <w:t>BK 1251/1252</w:t>
      </w:r>
      <w:r>
        <w:rPr>
          <w:b/>
          <w:spacing w:val="-1"/>
          <w:sz w:val="22"/>
        </w:rPr>
        <w:t> </w:t>
      </w:r>
      <w:r>
        <w:rPr>
          <w:b/>
          <w:sz w:val="22"/>
        </w:rPr>
        <w:t>část</w:t>
      </w:r>
      <w:r>
        <w:rPr>
          <w:sz w:val="22"/>
        </w:rPr>
        <w:t>.</w:t>
      </w:r>
    </w:p>
    <w:p>
      <w:pPr>
        <w:pStyle w:val="ListParagraph"/>
        <w:numPr>
          <w:ilvl w:val="0"/>
          <w:numId w:val="1"/>
        </w:numPr>
        <w:tabs>
          <w:tab w:pos="1024" w:val="left" w:leader="none"/>
          <w:tab w:pos="1026" w:val="left" w:leader="none"/>
        </w:tabs>
        <w:spacing w:line="240" w:lineRule="auto" w:before="118" w:after="0"/>
        <w:ind w:left="1025" w:right="0" w:hanging="853"/>
        <w:jc w:val="left"/>
        <w:rPr>
          <w:sz w:val="22"/>
        </w:rPr>
      </w:pPr>
      <w:r>
        <w:rPr>
          <w:sz w:val="22"/>
        </w:rPr>
        <w:t>Realizovat </w:t>
      </w:r>
      <w:r>
        <w:rPr>
          <w:b/>
          <w:sz w:val="22"/>
        </w:rPr>
        <w:t>návrhy opatření </w:t>
      </w:r>
      <w:r>
        <w:rPr>
          <w:sz w:val="22"/>
        </w:rPr>
        <w:t>v nefunkčních či částečně funkčních prvcích</w:t>
      </w:r>
      <w:r>
        <w:rPr>
          <w:spacing w:val="-13"/>
          <w:sz w:val="22"/>
        </w:rPr>
        <w:t> </w:t>
      </w:r>
      <w:r>
        <w:rPr>
          <w:sz w:val="22"/>
        </w:rPr>
        <w:t>ÚSES:</w:t>
      </w:r>
    </w:p>
    <w:p>
      <w:pPr>
        <w:pStyle w:val="ListParagraph"/>
        <w:numPr>
          <w:ilvl w:val="0"/>
          <w:numId w:val="2"/>
        </w:numPr>
        <w:tabs>
          <w:tab w:pos="1024" w:val="left" w:leader="none"/>
          <w:tab w:pos="1026" w:val="left" w:leader="none"/>
        </w:tabs>
        <w:spacing w:line="240" w:lineRule="auto" w:before="63" w:after="0"/>
        <w:ind w:left="1025" w:right="146" w:hanging="852"/>
        <w:jc w:val="left"/>
        <w:rPr>
          <w:sz w:val="22"/>
        </w:rPr>
      </w:pPr>
      <w:r>
        <w:rPr>
          <w:sz w:val="22"/>
        </w:rPr>
        <w:t>postupně provádět odborné vyhodnocení ÚSES a projektovou přípravu s následnou realizací nefunkčních prvků (či jejich částí) navržených k</w:t>
      </w:r>
      <w:r>
        <w:rPr>
          <w:spacing w:val="-10"/>
          <w:sz w:val="22"/>
        </w:rPr>
        <w:t> </w:t>
      </w:r>
      <w:r>
        <w:rPr>
          <w:sz w:val="22"/>
        </w:rPr>
        <w:t>založení,</w:t>
      </w:r>
    </w:p>
    <w:p>
      <w:pPr>
        <w:pStyle w:val="ListParagraph"/>
        <w:numPr>
          <w:ilvl w:val="0"/>
          <w:numId w:val="2"/>
        </w:numPr>
        <w:tabs>
          <w:tab w:pos="1024" w:val="left" w:leader="none"/>
          <w:tab w:pos="1026" w:val="left" w:leader="none"/>
        </w:tabs>
        <w:spacing w:line="240" w:lineRule="auto" w:before="60" w:after="0"/>
        <w:ind w:left="1025" w:right="0" w:hanging="853"/>
        <w:jc w:val="left"/>
        <w:rPr>
          <w:sz w:val="22"/>
        </w:rPr>
      </w:pPr>
      <w:r>
        <w:rPr>
          <w:sz w:val="22"/>
        </w:rPr>
        <w:t>skladebné prvky ÚSES náležitě využívat dle zásad a požadavků orgánu ochrany</w:t>
      </w:r>
      <w:r>
        <w:rPr>
          <w:spacing w:val="-17"/>
          <w:sz w:val="22"/>
        </w:rPr>
        <w:t> </w:t>
      </w:r>
      <w:r>
        <w:rPr>
          <w:spacing w:val="-4"/>
          <w:sz w:val="22"/>
        </w:rPr>
        <w:t>přírody.</w:t>
      </w:r>
    </w:p>
    <w:p>
      <w:pPr>
        <w:pStyle w:val="ListParagraph"/>
        <w:numPr>
          <w:ilvl w:val="0"/>
          <w:numId w:val="1"/>
        </w:numPr>
        <w:tabs>
          <w:tab w:pos="1024" w:val="left" w:leader="none"/>
          <w:tab w:pos="1026" w:val="left" w:leader="none"/>
        </w:tabs>
        <w:spacing w:line="240" w:lineRule="auto" w:before="116" w:after="0"/>
        <w:ind w:left="1025" w:right="146" w:hanging="852"/>
        <w:jc w:val="both"/>
        <w:rPr>
          <w:sz w:val="22"/>
        </w:rPr>
      </w:pPr>
      <w:r>
        <w:rPr>
          <w:sz w:val="22"/>
        </w:rPr>
        <w:t>V prvcích na </w:t>
      </w:r>
      <w:r>
        <w:rPr>
          <w:b/>
          <w:sz w:val="22"/>
        </w:rPr>
        <w:t>lesních pozemcích </w:t>
      </w:r>
      <w:r>
        <w:rPr>
          <w:sz w:val="22"/>
        </w:rPr>
        <w:t>důsledně dodržovat obnovné cíle pro udržení a navýšení ekologické stability prvků, výchovou porostů podporovat druhy přirozené dřevinné</w:t>
      </w:r>
      <w:r>
        <w:rPr>
          <w:spacing w:val="-1"/>
          <w:sz w:val="22"/>
        </w:rPr>
        <w:t> </w:t>
      </w:r>
      <w:r>
        <w:rPr>
          <w:sz w:val="22"/>
        </w:rPr>
        <w:t>skladby,</w:t>
      </w:r>
    </w:p>
    <w:p>
      <w:pPr>
        <w:pStyle w:val="ListParagraph"/>
        <w:numPr>
          <w:ilvl w:val="0"/>
          <w:numId w:val="2"/>
        </w:numPr>
        <w:tabs>
          <w:tab w:pos="1024" w:val="left" w:leader="none"/>
          <w:tab w:pos="1026" w:val="left" w:leader="none"/>
        </w:tabs>
        <w:spacing w:line="240" w:lineRule="auto" w:before="61" w:after="0"/>
        <w:ind w:left="1025" w:right="146" w:hanging="852"/>
        <w:jc w:val="both"/>
        <w:rPr>
          <w:sz w:val="22"/>
        </w:rPr>
      </w:pPr>
      <w:r>
        <w:rPr>
          <w:sz w:val="22"/>
        </w:rPr>
        <w:t>v obnovovaných LHP/LHO provést změny kategorizace lesů tvořících vymezená biocentra zařazením do příslušné subkategorie lesů zvláštního určení (vč. překryvů ostatních kategorií a subkategorií) – lesy tvořící biocentra nebo jejich části: 33-RC 1271, 159, 506, 507, 508, 509, 1248, 1249, 1251, 1252, 1254, 1256, 1262, 1263, 1393, 1399, 1400, 1402, 1403, 1404, 1405 a</w:t>
      </w:r>
      <w:r>
        <w:rPr>
          <w:spacing w:val="1"/>
          <w:sz w:val="22"/>
        </w:rPr>
        <w:t> </w:t>
      </w:r>
      <w:r>
        <w:rPr>
          <w:sz w:val="22"/>
        </w:rPr>
        <w:t>1462,</w:t>
      </w:r>
    </w:p>
    <w:p>
      <w:pPr>
        <w:pStyle w:val="ListParagraph"/>
        <w:numPr>
          <w:ilvl w:val="0"/>
          <w:numId w:val="2"/>
        </w:numPr>
        <w:tabs>
          <w:tab w:pos="1024" w:val="left" w:leader="none"/>
          <w:tab w:pos="1026" w:val="left" w:leader="none"/>
        </w:tabs>
        <w:spacing w:line="240" w:lineRule="auto" w:before="59" w:after="0"/>
        <w:ind w:left="1025" w:right="147" w:hanging="852"/>
        <w:jc w:val="both"/>
        <w:rPr>
          <w:sz w:val="22"/>
        </w:rPr>
      </w:pPr>
      <w:r>
        <w:rPr>
          <w:sz w:val="22"/>
        </w:rPr>
        <w:t>plochu přírodní lesní 34.N charakteru vzrostlého lesa převést do PUPFL jako součást funkčního BC</w:t>
      </w:r>
      <w:r>
        <w:rPr>
          <w:spacing w:val="-1"/>
          <w:sz w:val="22"/>
        </w:rPr>
        <w:t> </w:t>
      </w:r>
      <w:r>
        <w:rPr>
          <w:sz w:val="22"/>
        </w:rPr>
        <w:t>506.</w:t>
      </w:r>
    </w:p>
    <w:p>
      <w:pPr>
        <w:pStyle w:val="ListParagraph"/>
        <w:numPr>
          <w:ilvl w:val="0"/>
          <w:numId w:val="1"/>
        </w:numPr>
        <w:tabs>
          <w:tab w:pos="1024" w:val="left" w:leader="none"/>
          <w:tab w:pos="1026" w:val="left" w:leader="none"/>
        </w:tabs>
        <w:spacing w:line="251" w:lineRule="exact" w:before="120" w:after="0"/>
        <w:ind w:left="1025" w:right="0" w:hanging="853"/>
        <w:jc w:val="both"/>
        <w:rPr>
          <w:sz w:val="22"/>
        </w:rPr>
      </w:pPr>
      <w:r>
        <w:rPr>
          <w:sz w:val="22"/>
        </w:rPr>
        <w:t>Pro udržení a navýšení ekologické stability prvků ÚSES respektovat v</w:t>
      </w:r>
      <w:r>
        <w:rPr>
          <w:spacing w:val="51"/>
          <w:sz w:val="22"/>
        </w:rPr>
        <w:t> </w:t>
      </w:r>
      <w:r>
        <w:rPr>
          <w:sz w:val="22"/>
        </w:rPr>
        <w:t>kapitole</w:t>
      </w:r>
    </w:p>
    <w:p>
      <w:pPr>
        <w:pStyle w:val="BodyText"/>
        <w:ind w:left="1025" w:right="146" w:hanging="1"/>
      </w:pPr>
      <w:r>
        <w:rPr/>
        <w:t>„F.3 Omezení využívání ploch s rozdílným způsobem využití“ stanovené </w:t>
      </w:r>
      <w:r>
        <w:rPr>
          <w:b/>
        </w:rPr>
        <w:t>ochranné koridory </w:t>
      </w:r>
      <w:r>
        <w:rPr/>
        <w:t>stávajících i navržených biocenter a ochranné koridory navržených biokoridorů, v nichž je nutno prokázat potenciální vliv nové výstavby na jejich funkčnost resp. potenciální úpravy při dosažení požadovaných</w:t>
      </w:r>
      <w:r>
        <w:rPr>
          <w:spacing w:val="-10"/>
        </w:rPr>
        <w:t> </w:t>
      </w:r>
      <w:r>
        <w:rPr/>
        <w:t>parametrů,</w:t>
      </w:r>
    </w:p>
    <w:p>
      <w:pPr>
        <w:pStyle w:val="ListParagraph"/>
        <w:numPr>
          <w:ilvl w:val="0"/>
          <w:numId w:val="2"/>
        </w:numPr>
        <w:tabs>
          <w:tab w:pos="1024" w:val="left" w:leader="none"/>
          <w:tab w:pos="1026" w:val="left" w:leader="none"/>
        </w:tabs>
        <w:spacing w:line="240" w:lineRule="auto" w:before="61" w:after="0"/>
        <w:ind w:left="1025" w:right="146" w:hanging="852"/>
        <w:jc w:val="both"/>
        <w:rPr>
          <w:sz w:val="22"/>
        </w:rPr>
      </w:pPr>
      <w:r>
        <w:rPr>
          <w:sz w:val="22"/>
        </w:rPr>
        <w:t>potenciální kolize rozvojových ploch s prvky ÚSES je upřesněna na základě podmínek pro využití ploch uvedených v tabulkách kapitoly „C.2 Návrh zastavitelných ploch, ploch přestavby a nezastavitelných ploch“ návrhu</w:t>
      </w:r>
      <w:r>
        <w:rPr>
          <w:spacing w:val="-2"/>
          <w:sz w:val="22"/>
        </w:rPr>
        <w:t> </w:t>
      </w:r>
      <w:r>
        <w:rPr>
          <w:sz w:val="22"/>
        </w:rPr>
        <w:t>ÚP:</w:t>
      </w:r>
    </w:p>
    <w:p>
      <w:pPr>
        <w:pStyle w:val="ListParagraph"/>
        <w:numPr>
          <w:ilvl w:val="0"/>
          <w:numId w:val="2"/>
        </w:numPr>
        <w:tabs>
          <w:tab w:pos="1024" w:val="left" w:leader="none"/>
          <w:tab w:pos="1026" w:val="left" w:leader="none"/>
        </w:tabs>
        <w:spacing w:line="242" w:lineRule="auto" w:before="57" w:after="0"/>
        <w:ind w:left="1025" w:right="145" w:hanging="852"/>
        <w:jc w:val="both"/>
        <w:rPr>
          <w:sz w:val="22"/>
        </w:rPr>
      </w:pPr>
      <w:r>
        <w:rPr>
          <w:sz w:val="22"/>
        </w:rPr>
        <w:t>„</w:t>
      </w:r>
      <w:r>
        <w:rPr>
          <w:b/>
          <w:sz w:val="22"/>
        </w:rPr>
        <w:t>BK </w:t>
      </w:r>
      <w:r>
        <w:rPr>
          <w:sz w:val="22"/>
        </w:rPr>
        <w:t>- v dalších stupních projektové přípravy vytvořit podmínky pro funkčnost prvků ÚSES plošným vymezením biokoridorů o šířce odpovídající jejich biogeografickému</w:t>
      </w:r>
      <w:r>
        <w:rPr>
          <w:spacing w:val="-28"/>
          <w:sz w:val="22"/>
        </w:rPr>
        <w:t> </w:t>
      </w:r>
      <w:r>
        <w:rPr>
          <w:sz w:val="22"/>
        </w:rPr>
        <w:t>významu“.</w:t>
      </w:r>
    </w:p>
    <w:p>
      <w:pPr>
        <w:spacing w:after="0" w:line="242" w:lineRule="auto"/>
        <w:jc w:val="both"/>
        <w:rPr>
          <w:sz w:val="22"/>
        </w:rPr>
        <w:sectPr>
          <w:pgSz w:w="11900" w:h="16840"/>
          <w:pgMar w:header="557" w:footer="582" w:top="760" w:bottom="780" w:left="960" w:right="980"/>
        </w:sectPr>
      </w:pPr>
    </w:p>
    <w:p>
      <w:pPr>
        <w:pStyle w:val="BodyText"/>
        <w:ind w:left="0" w:firstLine="0"/>
        <w:jc w:val="left"/>
        <w:rPr>
          <w:sz w:val="20"/>
        </w:rPr>
      </w:pPr>
    </w:p>
    <w:p>
      <w:pPr>
        <w:pStyle w:val="BodyText"/>
        <w:spacing w:before="3"/>
        <w:ind w:left="0" w:firstLine="0"/>
        <w:jc w:val="left"/>
        <w:rPr>
          <w:sz w:val="11"/>
        </w:rPr>
      </w:pPr>
    </w:p>
    <w:p>
      <w:pPr>
        <w:pStyle w:val="BodyText"/>
        <w:ind w:left="144" w:firstLine="0"/>
        <w:jc w:val="left"/>
        <w:rPr>
          <w:sz w:val="20"/>
        </w:rPr>
      </w:pPr>
      <w:r>
        <w:rPr>
          <w:sz w:val="20"/>
        </w:rPr>
        <w:pict>
          <v:shape style="width:484.7pt;height:15pt;mso-position-horizontal-relative:char;mso-position-vertical-relative:line" type="#_x0000_t202" filled="true" fillcolor="#ccffff" stroked="false">
            <w10:anchorlock/>
            <v:textbox inset="0,0,0,0">
              <w:txbxContent>
                <w:p>
                  <w:pPr>
                    <w:tabs>
                      <w:tab w:pos="880" w:val="left" w:leader="none"/>
                    </w:tabs>
                    <w:spacing w:line="295" w:lineRule="exact" w:before="0"/>
                    <w:ind w:left="28" w:right="0" w:firstLine="0"/>
                    <w:jc w:val="left"/>
                    <w:rPr>
                      <w:b/>
                      <w:sz w:val="26"/>
                    </w:rPr>
                  </w:pPr>
                  <w:r>
                    <w:rPr>
                      <w:b/>
                      <w:sz w:val="26"/>
                    </w:rPr>
                    <w:t>E.3</w:t>
                    <w:tab/>
                    <w:t>KRAJINNÁ</w:t>
                  </w:r>
                  <w:r>
                    <w:rPr>
                      <w:b/>
                      <w:spacing w:val="-2"/>
                      <w:sz w:val="26"/>
                    </w:rPr>
                    <w:t> </w:t>
                  </w:r>
                  <w:r>
                    <w:rPr>
                      <w:b/>
                      <w:sz w:val="26"/>
                    </w:rPr>
                    <w:t>ZELEŇ</w:t>
                  </w:r>
                </w:p>
              </w:txbxContent>
            </v:textbox>
            <v:fill type="solid"/>
          </v:shape>
        </w:pict>
      </w:r>
      <w:r>
        <w:rPr>
          <w:sz w:val="20"/>
        </w:rPr>
      </w:r>
    </w:p>
    <w:p>
      <w:pPr>
        <w:pStyle w:val="Heading3"/>
        <w:spacing w:before="100"/>
      </w:pPr>
      <w:r>
        <w:rPr/>
        <w:t>PLOCHY LESNÍ (LESNÍ ZELEŇ)</w:t>
      </w:r>
    </w:p>
    <w:p>
      <w:pPr>
        <w:pStyle w:val="ListParagraph"/>
        <w:numPr>
          <w:ilvl w:val="0"/>
          <w:numId w:val="1"/>
        </w:numPr>
        <w:tabs>
          <w:tab w:pos="1024" w:val="left" w:leader="none"/>
          <w:tab w:pos="1025" w:val="left" w:leader="none"/>
        </w:tabs>
        <w:spacing w:line="240" w:lineRule="auto" w:before="121" w:after="0"/>
        <w:ind w:left="1024" w:right="147" w:hanging="853"/>
        <w:jc w:val="both"/>
        <w:rPr>
          <w:sz w:val="22"/>
        </w:rPr>
      </w:pPr>
      <w:r>
        <w:rPr>
          <w:sz w:val="22"/>
        </w:rPr>
        <w:t>Stabilizovat rozsah, rozmístění i vymezení členitých okrajů ploch lesních (L) v řešeném území.</w:t>
      </w:r>
    </w:p>
    <w:p>
      <w:pPr>
        <w:pStyle w:val="ListParagraph"/>
        <w:numPr>
          <w:ilvl w:val="0"/>
          <w:numId w:val="1"/>
        </w:numPr>
        <w:tabs>
          <w:tab w:pos="1024" w:val="left" w:leader="none"/>
          <w:tab w:pos="1025" w:val="left" w:leader="none"/>
        </w:tabs>
        <w:spacing w:line="244" w:lineRule="auto" w:before="118" w:after="0"/>
        <w:ind w:left="1024" w:right="146" w:hanging="853"/>
        <w:jc w:val="both"/>
        <w:rPr>
          <w:sz w:val="22"/>
        </w:rPr>
      </w:pPr>
      <w:r>
        <w:rPr>
          <w:sz w:val="22"/>
        </w:rPr>
        <w:t>Obnovu lesů realizovat uvážlivým umísťováním </w:t>
      </w:r>
      <w:r>
        <w:rPr>
          <w:b/>
          <w:sz w:val="22"/>
        </w:rPr>
        <w:t>obnovných prvků </w:t>
      </w:r>
      <w:r>
        <w:rPr>
          <w:sz w:val="22"/>
        </w:rPr>
        <w:t>s ohledem na zachování krajinného rázu v místech pohledově dominantních partií a</w:t>
      </w:r>
      <w:r>
        <w:rPr>
          <w:spacing w:val="-17"/>
          <w:sz w:val="22"/>
        </w:rPr>
        <w:t> </w:t>
      </w:r>
      <w:r>
        <w:rPr>
          <w:sz w:val="22"/>
        </w:rPr>
        <w:t>svahů.</w:t>
      </w:r>
    </w:p>
    <w:p>
      <w:pPr>
        <w:pStyle w:val="ListParagraph"/>
        <w:numPr>
          <w:ilvl w:val="0"/>
          <w:numId w:val="1"/>
        </w:numPr>
        <w:tabs>
          <w:tab w:pos="1024" w:val="left" w:leader="none"/>
          <w:tab w:pos="1025" w:val="left" w:leader="none"/>
        </w:tabs>
        <w:spacing w:line="244" w:lineRule="auto" w:before="111" w:after="0"/>
        <w:ind w:left="1024" w:right="145" w:hanging="852"/>
        <w:jc w:val="both"/>
        <w:rPr>
          <w:sz w:val="22"/>
        </w:rPr>
      </w:pPr>
      <w:r>
        <w:rPr>
          <w:sz w:val="22"/>
        </w:rPr>
        <w:t>Ve svažitých lesních pozemcích náchylných ke vzniku rýhové </w:t>
      </w:r>
      <w:r>
        <w:rPr>
          <w:b/>
          <w:sz w:val="22"/>
        </w:rPr>
        <w:t>eroze </w:t>
      </w:r>
      <w:r>
        <w:rPr>
          <w:sz w:val="22"/>
        </w:rPr>
        <w:t>provádět vyklizování a soustřeďování vytěžené dřevní hmoty šetrnými způsoby a</w:t>
      </w:r>
      <w:r>
        <w:rPr>
          <w:spacing w:val="-18"/>
          <w:sz w:val="22"/>
        </w:rPr>
        <w:t> </w:t>
      </w:r>
      <w:r>
        <w:rPr>
          <w:sz w:val="22"/>
        </w:rPr>
        <w:t>technologiemi.</w:t>
      </w:r>
    </w:p>
    <w:p>
      <w:pPr>
        <w:pStyle w:val="ListParagraph"/>
        <w:numPr>
          <w:ilvl w:val="0"/>
          <w:numId w:val="1"/>
        </w:numPr>
        <w:tabs>
          <w:tab w:pos="1024" w:val="left" w:leader="none"/>
          <w:tab w:pos="1025" w:val="left" w:leader="none"/>
        </w:tabs>
        <w:spacing w:line="240" w:lineRule="auto" w:before="110" w:after="0"/>
        <w:ind w:left="1024" w:right="142" w:hanging="853"/>
        <w:jc w:val="both"/>
        <w:rPr>
          <w:sz w:val="22"/>
        </w:rPr>
      </w:pPr>
      <w:r>
        <w:rPr>
          <w:sz w:val="22"/>
        </w:rPr>
        <w:t>Organizovanou </w:t>
      </w:r>
      <w:r>
        <w:rPr>
          <w:b/>
          <w:sz w:val="22"/>
        </w:rPr>
        <w:t>rekreaci a sportovní vyžití </w:t>
      </w:r>
      <w:r>
        <w:rPr>
          <w:sz w:val="22"/>
        </w:rPr>
        <w:t>na lesních pozemcích směřovat do lesů subkategorie lesa zvláštního určení - příměstských a dalších lesích se zvýšenou rekreační funkcí,</w:t>
      </w:r>
    </w:p>
    <w:p>
      <w:pPr>
        <w:pStyle w:val="ListParagraph"/>
        <w:numPr>
          <w:ilvl w:val="0"/>
          <w:numId w:val="2"/>
        </w:numPr>
        <w:tabs>
          <w:tab w:pos="1024" w:val="left" w:leader="none"/>
          <w:tab w:pos="1025" w:val="left" w:leader="none"/>
        </w:tabs>
        <w:spacing w:line="240" w:lineRule="auto" w:before="62" w:after="0"/>
        <w:ind w:left="1024" w:right="0" w:hanging="853"/>
        <w:jc w:val="both"/>
        <w:rPr>
          <w:sz w:val="22"/>
        </w:rPr>
      </w:pPr>
      <w:r>
        <w:rPr>
          <w:sz w:val="22"/>
        </w:rPr>
        <w:t>výjimkou jsou úpravy bez územních nároků - singltrek, běžná turistika</w:t>
      </w:r>
      <w:r>
        <w:rPr>
          <w:spacing w:val="-19"/>
          <w:sz w:val="22"/>
        </w:rPr>
        <w:t> </w:t>
      </w:r>
      <w:r>
        <w:rPr>
          <w:sz w:val="22"/>
        </w:rPr>
        <w:t>apod.</w:t>
      </w:r>
    </w:p>
    <w:p>
      <w:pPr>
        <w:pStyle w:val="ListParagraph"/>
        <w:numPr>
          <w:ilvl w:val="0"/>
          <w:numId w:val="1"/>
        </w:numPr>
        <w:tabs>
          <w:tab w:pos="1024" w:val="left" w:leader="none"/>
          <w:tab w:pos="1025" w:val="left" w:leader="none"/>
        </w:tabs>
        <w:spacing w:line="240" w:lineRule="auto" w:before="120" w:after="0"/>
        <w:ind w:left="1024" w:right="146" w:hanging="853"/>
        <w:jc w:val="both"/>
        <w:rPr>
          <w:sz w:val="22"/>
        </w:rPr>
      </w:pPr>
      <w:r>
        <w:rPr>
          <w:sz w:val="22"/>
        </w:rPr>
        <w:t>Plochy aktuálního charakteru vzrostlého lesa začlenit do PUPFL za podmínky souhlasu orgánů státní správy lesů a ochrany přírody a krajiny a vlastníků dotčených</w:t>
      </w:r>
      <w:r>
        <w:rPr>
          <w:spacing w:val="-25"/>
          <w:sz w:val="22"/>
        </w:rPr>
        <w:t> </w:t>
      </w:r>
      <w:r>
        <w:rPr>
          <w:sz w:val="22"/>
        </w:rPr>
        <w:t>pozemků,</w:t>
      </w:r>
    </w:p>
    <w:p>
      <w:pPr>
        <w:pStyle w:val="ListParagraph"/>
        <w:numPr>
          <w:ilvl w:val="0"/>
          <w:numId w:val="2"/>
        </w:numPr>
        <w:tabs>
          <w:tab w:pos="1024" w:val="left" w:leader="none"/>
          <w:tab w:pos="1025" w:val="left" w:leader="none"/>
        </w:tabs>
        <w:spacing w:line="240" w:lineRule="auto" w:before="58" w:after="0"/>
        <w:ind w:left="1024" w:right="0" w:hanging="853"/>
        <w:jc w:val="both"/>
        <w:rPr>
          <w:sz w:val="22"/>
        </w:rPr>
      </w:pPr>
      <w:r>
        <w:rPr>
          <w:sz w:val="22"/>
        </w:rPr>
        <w:t>zalesnit části území zejména jižně Ovčí hory –</w:t>
      </w:r>
      <w:r>
        <w:rPr>
          <w:spacing w:val="-8"/>
          <w:sz w:val="22"/>
        </w:rPr>
        <w:t> </w:t>
      </w:r>
      <w:r>
        <w:rPr>
          <w:sz w:val="22"/>
        </w:rPr>
        <w:t>plochy:</w:t>
      </w:r>
    </w:p>
    <w:p>
      <w:pPr>
        <w:pStyle w:val="ListParagraph"/>
        <w:numPr>
          <w:ilvl w:val="0"/>
          <w:numId w:val="2"/>
        </w:numPr>
        <w:tabs>
          <w:tab w:pos="1024" w:val="left" w:leader="none"/>
          <w:tab w:pos="1025" w:val="left" w:leader="none"/>
        </w:tabs>
        <w:spacing w:line="240" w:lineRule="auto" w:before="61" w:after="0"/>
        <w:ind w:left="1024" w:right="146" w:hanging="853"/>
        <w:jc w:val="both"/>
        <w:rPr>
          <w:sz w:val="22"/>
        </w:rPr>
      </w:pPr>
      <w:r>
        <w:rPr>
          <w:sz w:val="22"/>
        </w:rPr>
        <w:t>k.ú. Chrastava I: 34.N (plochy přírodní lesní - je součástí vymezeného funkčního BC 506 místního významu), 35.L, 36.L, 37.L, 38.L, 39.L (plochy</w:t>
      </w:r>
      <w:r>
        <w:rPr>
          <w:spacing w:val="-14"/>
          <w:sz w:val="22"/>
        </w:rPr>
        <w:t> </w:t>
      </w:r>
      <w:r>
        <w:rPr>
          <w:sz w:val="22"/>
        </w:rPr>
        <w:t>lesní),</w:t>
      </w:r>
    </w:p>
    <w:p>
      <w:pPr>
        <w:pStyle w:val="ListParagraph"/>
        <w:numPr>
          <w:ilvl w:val="0"/>
          <w:numId w:val="2"/>
        </w:numPr>
        <w:tabs>
          <w:tab w:pos="1024" w:val="left" w:leader="none"/>
          <w:tab w:pos="1025" w:val="left" w:leader="none"/>
        </w:tabs>
        <w:spacing w:line="240" w:lineRule="auto" w:before="59" w:after="0"/>
        <w:ind w:left="1024" w:right="0" w:hanging="853"/>
        <w:jc w:val="both"/>
        <w:rPr>
          <w:sz w:val="22"/>
        </w:rPr>
      </w:pPr>
      <w:r>
        <w:rPr>
          <w:sz w:val="22"/>
        </w:rPr>
        <w:t>k.ú. Dolní Chrastava: 97.L (plochy</w:t>
      </w:r>
      <w:r>
        <w:rPr>
          <w:spacing w:val="-13"/>
          <w:sz w:val="22"/>
        </w:rPr>
        <w:t> </w:t>
      </w:r>
      <w:r>
        <w:rPr>
          <w:sz w:val="22"/>
        </w:rPr>
        <w:t>lesní).</w:t>
      </w:r>
    </w:p>
    <w:p>
      <w:pPr>
        <w:pStyle w:val="Heading3"/>
        <w:spacing w:before="116"/>
      </w:pPr>
      <w:r>
        <w:rPr/>
        <w:t>PLOCHY ZEMĚDĚLSKÉ (NELESNÍ ZELEŇ)</w:t>
      </w:r>
    </w:p>
    <w:p>
      <w:pPr>
        <w:pStyle w:val="ListParagraph"/>
        <w:numPr>
          <w:ilvl w:val="0"/>
          <w:numId w:val="1"/>
        </w:numPr>
        <w:tabs>
          <w:tab w:pos="1024" w:val="left" w:leader="none"/>
          <w:tab w:pos="1025" w:val="left" w:leader="none"/>
        </w:tabs>
        <w:spacing w:line="242" w:lineRule="auto" w:before="119" w:after="0"/>
        <w:ind w:left="1024" w:right="147" w:hanging="852"/>
        <w:jc w:val="both"/>
        <w:rPr>
          <w:sz w:val="22"/>
        </w:rPr>
      </w:pPr>
      <w:r>
        <w:rPr>
          <w:sz w:val="22"/>
        </w:rPr>
        <w:t>Za nedílnou součást ploch zemědělských (K) považovat </w:t>
      </w:r>
      <w:r>
        <w:rPr>
          <w:b/>
          <w:sz w:val="22"/>
        </w:rPr>
        <w:t>solitéry, remízky a pásy </w:t>
      </w:r>
      <w:r>
        <w:rPr>
          <w:sz w:val="22"/>
        </w:rPr>
        <w:t>nelesní zeleně, její detailní rozmístění řešit podrobnými pozemkovými úpravami za účelem dosažení maximální přirozené ochrany ZPF a vytvoření harmonické příměstské</w:t>
      </w:r>
      <w:r>
        <w:rPr>
          <w:spacing w:val="-32"/>
          <w:sz w:val="22"/>
        </w:rPr>
        <w:t> </w:t>
      </w:r>
      <w:r>
        <w:rPr>
          <w:sz w:val="22"/>
        </w:rPr>
        <w:t>krajiny.</w:t>
      </w:r>
    </w:p>
    <w:p>
      <w:pPr>
        <w:pStyle w:val="ListParagraph"/>
        <w:numPr>
          <w:ilvl w:val="0"/>
          <w:numId w:val="1"/>
        </w:numPr>
        <w:tabs>
          <w:tab w:pos="1024" w:val="left" w:leader="none"/>
          <w:tab w:pos="1025" w:val="left" w:leader="none"/>
        </w:tabs>
        <w:spacing w:line="240" w:lineRule="auto" w:before="114" w:after="0"/>
        <w:ind w:left="1024" w:right="146" w:hanging="853"/>
        <w:jc w:val="left"/>
        <w:rPr>
          <w:sz w:val="22"/>
        </w:rPr>
      </w:pPr>
      <w:r>
        <w:rPr>
          <w:sz w:val="22"/>
        </w:rPr>
        <w:t>Způsoby </w:t>
      </w:r>
      <w:r>
        <w:rPr>
          <w:b/>
          <w:sz w:val="22"/>
        </w:rPr>
        <w:t>využívání složek půdního fondu </w:t>
      </w:r>
      <w:r>
        <w:rPr>
          <w:sz w:val="22"/>
        </w:rPr>
        <w:t>diferencovat a podřizovat zájmům ochrany přírody a</w:t>
      </w:r>
      <w:r>
        <w:rPr>
          <w:spacing w:val="-3"/>
          <w:sz w:val="22"/>
        </w:rPr>
        <w:t> </w:t>
      </w:r>
      <w:r>
        <w:rPr>
          <w:sz w:val="22"/>
        </w:rPr>
        <w:t>krajiny,</w:t>
      </w:r>
    </w:p>
    <w:p>
      <w:pPr>
        <w:pStyle w:val="ListParagraph"/>
        <w:numPr>
          <w:ilvl w:val="0"/>
          <w:numId w:val="2"/>
        </w:numPr>
        <w:tabs>
          <w:tab w:pos="1024" w:val="left" w:leader="none"/>
          <w:tab w:pos="1025" w:val="left" w:leader="none"/>
        </w:tabs>
        <w:spacing w:line="240" w:lineRule="auto" w:before="61" w:after="0"/>
        <w:ind w:left="1024" w:right="148" w:hanging="852"/>
        <w:jc w:val="left"/>
        <w:rPr>
          <w:sz w:val="22"/>
        </w:rPr>
      </w:pPr>
      <w:r>
        <w:rPr>
          <w:sz w:val="22"/>
        </w:rPr>
        <w:t>výskyt náletových struktur na dlouhodobě nevyužívaných zemědělských pozemcích nepovažovat za limit pro obnovu zemědělského</w:t>
      </w:r>
      <w:r>
        <w:rPr>
          <w:spacing w:val="-2"/>
          <w:sz w:val="22"/>
        </w:rPr>
        <w:t> </w:t>
      </w:r>
      <w:r>
        <w:rPr>
          <w:sz w:val="22"/>
        </w:rPr>
        <w:t>hospodaření.</w:t>
      </w:r>
    </w:p>
    <w:p>
      <w:pPr>
        <w:pStyle w:val="ListParagraph"/>
        <w:numPr>
          <w:ilvl w:val="0"/>
          <w:numId w:val="1"/>
        </w:numPr>
        <w:tabs>
          <w:tab w:pos="1024" w:val="left" w:leader="none"/>
          <w:tab w:pos="1025" w:val="left" w:leader="none"/>
        </w:tabs>
        <w:spacing w:line="240" w:lineRule="auto" w:before="117" w:after="0"/>
        <w:ind w:left="1024" w:right="0" w:hanging="853"/>
        <w:jc w:val="left"/>
        <w:rPr>
          <w:sz w:val="22"/>
        </w:rPr>
      </w:pPr>
      <w:r>
        <w:rPr>
          <w:sz w:val="22"/>
        </w:rPr>
        <w:t>Bez ohledu na existenci </w:t>
      </w:r>
      <w:r>
        <w:rPr>
          <w:b/>
          <w:sz w:val="22"/>
        </w:rPr>
        <w:t>pozemkových</w:t>
      </w:r>
      <w:r>
        <w:rPr>
          <w:b/>
          <w:spacing w:val="-4"/>
          <w:sz w:val="22"/>
        </w:rPr>
        <w:t> </w:t>
      </w:r>
      <w:r>
        <w:rPr>
          <w:b/>
          <w:sz w:val="22"/>
        </w:rPr>
        <w:t>úprav</w:t>
      </w:r>
      <w:r>
        <w:rPr>
          <w:sz w:val="22"/>
        </w:rPr>
        <w:t>:</w:t>
      </w:r>
    </w:p>
    <w:p>
      <w:pPr>
        <w:pStyle w:val="ListParagraph"/>
        <w:numPr>
          <w:ilvl w:val="0"/>
          <w:numId w:val="2"/>
        </w:numPr>
        <w:tabs>
          <w:tab w:pos="1024" w:val="left" w:leader="none"/>
          <w:tab w:pos="1025" w:val="left" w:leader="none"/>
        </w:tabs>
        <w:spacing w:line="237" w:lineRule="auto" w:before="66" w:after="0"/>
        <w:ind w:left="1024" w:right="147" w:hanging="853"/>
        <w:jc w:val="both"/>
        <w:rPr>
          <w:sz w:val="22"/>
        </w:rPr>
      </w:pPr>
      <w:r>
        <w:rPr>
          <w:sz w:val="22"/>
        </w:rPr>
        <w:t>chránit na celém řešeném území vzrostlou nelesní zeleň, případnou likvidaci prvků zeleně patřičně zdůvodnit a odsouhlasit orgánem ochrany přírody, případně podmiňovat </w:t>
      </w:r>
      <w:r>
        <w:rPr>
          <w:b/>
          <w:sz w:val="22"/>
        </w:rPr>
        <w:t>náhradní</w:t>
      </w:r>
      <w:r>
        <w:rPr>
          <w:b/>
          <w:spacing w:val="1"/>
          <w:sz w:val="22"/>
        </w:rPr>
        <w:t> </w:t>
      </w:r>
      <w:r>
        <w:rPr>
          <w:b/>
          <w:sz w:val="22"/>
        </w:rPr>
        <w:t>výsadbou</w:t>
      </w:r>
      <w:r>
        <w:rPr>
          <w:sz w:val="22"/>
        </w:rPr>
        <w:t>,</w:t>
      </w:r>
    </w:p>
    <w:p>
      <w:pPr>
        <w:pStyle w:val="ListParagraph"/>
        <w:numPr>
          <w:ilvl w:val="0"/>
          <w:numId w:val="2"/>
        </w:numPr>
        <w:tabs>
          <w:tab w:pos="1024" w:val="left" w:leader="none"/>
          <w:tab w:pos="1025" w:val="left" w:leader="none"/>
        </w:tabs>
        <w:spacing w:line="240" w:lineRule="auto" w:before="61" w:after="0"/>
        <w:ind w:left="1024" w:right="147" w:hanging="853"/>
        <w:jc w:val="both"/>
        <w:rPr>
          <w:sz w:val="22"/>
        </w:rPr>
      </w:pPr>
      <w:r>
        <w:rPr>
          <w:sz w:val="22"/>
        </w:rPr>
        <w:t>zakládat </w:t>
      </w:r>
      <w:r>
        <w:rPr>
          <w:b/>
          <w:sz w:val="22"/>
        </w:rPr>
        <w:t>dřevinné doprovody </w:t>
      </w:r>
      <w:r>
        <w:rPr>
          <w:sz w:val="22"/>
        </w:rPr>
        <w:t>s ochrannou, hygienickou i estetickou funkcí podél stávajících komunikací a vodotečí v závislosti na prostorových</w:t>
      </w:r>
      <w:r>
        <w:rPr>
          <w:spacing w:val="-11"/>
          <w:sz w:val="22"/>
        </w:rPr>
        <w:t> </w:t>
      </w:r>
      <w:r>
        <w:rPr>
          <w:sz w:val="22"/>
        </w:rPr>
        <w:t>možnostech,</w:t>
      </w:r>
    </w:p>
    <w:p>
      <w:pPr>
        <w:pStyle w:val="ListParagraph"/>
        <w:numPr>
          <w:ilvl w:val="0"/>
          <w:numId w:val="2"/>
        </w:numPr>
        <w:tabs>
          <w:tab w:pos="1024" w:val="left" w:leader="none"/>
          <w:tab w:pos="1025" w:val="left" w:leader="none"/>
        </w:tabs>
        <w:spacing w:line="240" w:lineRule="auto" w:before="62" w:after="0"/>
        <w:ind w:left="1024" w:right="149" w:hanging="853"/>
        <w:jc w:val="both"/>
        <w:rPr>
          <w:sz w:val="22"/>
        </w:rPr>
      </w:pPr>
      <w:r>
        <w:rPr>
          <w:sz w:val="22"/>
        </w:rPr>
        <w:t>již v projektové přípravě nových dopravních a vodohospodářských staveb vymezit dostatečný prostor pro umístění alejí a dřevinných</w:t>
      </w:r>
      <w:r>
        <w:rPr>
          <w:spacing w:val="-9"/>
          <w:sz w:val="22"/>
        </w:rPr>
        <w:t> </w:t>
      </w:r>
      <w:r>
        <w:rPr>
          <w:sz w:val="22"/>
        </w:rPr>
        <w:t>doprovodů.</w:t>
      </w:r>
    </w:p>
    <w:p>
      <w:pPr>
        <w:pStyle w:val="BodyText"/>
        <w:spacing w:before="11"/>
        <w:ind w:left="0" w:firstLine="0"/>
        <w:jc w:val="left"/>
        <w:rPr>
          <w:sz w:val="18"/>
        </w:rPr>
      </w:pPr>
      <w:r>
        <w:rPr/>
        <w:pict>
          <v:shape style="position:absolute;margin-left:55.199997pt;margin-top:12.116804pt;width:484.7pt;height:14.9pt;mso-position-horizontal-relative:page;mso-position-vertical-relative:paragraph;z-index:-15716352;mso-wrap-distance-left:0;mso-wrap-distance-right:0" type="#_x0000_t202" filled="true" fillcolor="#ccffff" stroked="false">
            <v:textbox inset="0,0,0,0">
              <w:txbxContent>
                <w:p>
                  <w:pPr>
                    <w:tabs>
                      <w:tab w:pos="880" w:val="left" w:leader="none"/>
                    </w:tabs>
                    <w:spacing w:line="295" w:lineRule="exact" w:before="0"/>
                    <w:ind w:left="28" w:right="0" w:firstLine="0"/>
                    <w:jc w:val="left"/>
                    <w:rPr>
                      <w:b/>
                      <w:sz w:val="26"/>
                    </w:rPr>
                  </w:pPr>
                  <w:r>
                    <w:rPr>
                      <w:b/>
                      <w:sz w:val="26"/>
                    </w:rPr>
                    <w:t>E.4</w:t>
                    <w:tab/>
                    <w:t>VODNÍ TOKY A NÁDRŽE, OCHRANA PŘED</w:t>
                  </w:r>
                  <w:r>
                    <w:rPr>
                      <w:b/>
                      <w:spacing w:val="-7"/>
                      <w:sz w:val="26"/>
                    </w:rPr>
                    <w:t> </w:t>
                  </w:r>
                  <w:r>
                    <w:rPr>
                      <w:b/>
                      <w:sz w:val="26"/>
                    </w:rPr>
                    <w:t>POVODNĚMI</w:t>
                  </w:r>
                </w:p>
              </w:txbxContent>
            </v:textbox>
            <v:fill type="solid"/>
            <w10:wrap type="topAndBottom"/>
          </v:shape>
        </w:pict>
      </w:r>
    </w:p>
    <w:p>
      <w:pPr>
        <w:pStyle w:val="ListParagraph"/>
        <w:numPr>
          <w:ilvl w:val="0"/>
          <w:numId w:val="1"/>
        </w:numPr>
        <w:tabs>
          <w:tab w:pos="1024" w:val="left" w:leader="none"/>
          <w:tab w:pos="1025" w:val="left" w:leader="none"/>
        </w:tabs>
        <w:spacing w:line="240" w:lineRule="auto" w:before="102" w:after="0"/>
        <w:ind w:left="1024" w:right="146" w:hanging="853"/>
        <w:jc w:val="left"/>
        <w:rPr>
          <w:sz w:val="22"/>
        </w:rPr>
      </w:pPr>
      <w:r>
        <w:rPr>
          <w:sz w:val="22"/>
        </w:rPr>
        <w:t>V řešeném území zachovat stávající drobné vodní plochy doplňující základní kostru ploch vodních a vodohospodářských (V) tvořenou toky Lužické Nisy a</w:t>
      </w:r>
      <w:r>
        <w:rPr>
          <w:spacing w:val="-16"/>
          <w:sz w:val="22"/>
        </w:rPr>
        <w:t> </w:t>
      </w:r>
      <w:r>
        <w:rPr>
          <w:sz w:val="22"/>
        </w:rPr>
        <w:t>Jeřice,</w:t>
      </w:r>
    </w:p>
    <w:p>
      <w:pPr>
        <w:pStyle w:val="ListParagraph"/>
        <w:numPr>
          <w:ilvl w:val="0"/>
          <w:numId w:val="2"/>
        </w:numPr>
        <w:tabs>
          <w:tab w:pos="1024" w:val="left" w:leader="none"/>
          <w:tab w:pos="1025" w:val="left" w:leader="none"/>
        </w:tabs>
        <w:spacing w:line="240" w:lineRule="auto" w:before="61" w:after="0"/>
        <w:ind w:left="1024" w:right="0" w:hanging="853"/>
        <w:jc w:val="left"/>
        <w:rPr>
          <w:sz w:val="22"/>
        </w:rPr>
      </w:pPr>
      <w:r>
        <w:rPr>
          <w:sz w:val="22"/>
        </w:rPr>
        <w:t>rehabilitovat rybníky u sídliště Střelecký</w:t>
      </w:r>
      <w:r>
        <w:rPr>
          <w:spacing w:val="-3"/>
          <w:sz w:val="22"/>
        </w:rPr>
        <w:t> </w:t>
      </w:r>
      <w:r>
        <w:rPr>
          <w:sz w:val="22"/>
        </w:rPr>
        <w:t>vrch,</w:t>
      </w:r>
    </w:p>
    <w:p>
      <w:pPr>
        <w:pStyle w:val="ListParagraph"/>
        <w:numPr>
          <w:ilvl w:val="0"/>
          <w:numId w:val="2"/>
        </w:numPr>
        <w:tabs>
          <w:tab w:pos="1024" w:val="left" w:leader="none"/>
          <w:tab w:pos="1025" w:val="left" w:leader="none"/>
        </w:tabs>
        <w:spacing w:line="240" w:lineRule="auto" w:before="58" w:after="0"/>
        <w:ind w:left="1024" w:right="0" w:hanging="853"/>
        <w:jc w:val="left"/>
        <w:rPr>
          <w:sz w:val="22"/>
        </w:rPr>
      </w:pPr>
      <w:r>
        <w:rPr>
          <w:sz w:val="22"/>
        </w:rPr>
        <w:t>stabilizovat městské koupaliště ve stávající</w:t>
      </w:r>
      <w:r>
        <w:rPr>
          <w:spacing w:val="-4"/>
          <w:sz w:val="22"/>
        </w:rPr>
        <w:t> </w:t>
      </w:r>
      <w:r>
        <w:rPr>
          <w:sz w:val="22"/>
        </w:rPr>
        <w:t>poloze,</w:t>
      </w:r>
    </w:p>
    <w:p>
      <w:pPr>
        <w:pStyle w:val="ListParagraph"/>
        <w:numPr>
          <w:ilvl w:val="0"/>
          <w:numId w:val="2"/>
        </w:numPr>
        <w:tabs>
          <w:tab w:pos="1024" w:val="left" w:leader="none"/>
          <w:tab w:pos="1025" w:val="left" w:leader="none"/>
        </w:tabs>
        <w:spacing w:line="240" w:lineRule="auto" w:before="20" w:after="0"/>
        <w:ind w:left="1024" w:right="145" w:hanging="853"/>
        <w:jc w:val="left"/>
        <w:rPr>
          <w:sz w:val="22"/>
        </w:rPr>
      </w:pPr>
      <w:r>
        <w:rPr>
          <w:sz w:val="22"/>
        </w:rPr>
        <w:t>vytvářet územní podmínky pro sportovně rekreační využití vodních ploch a zvýraznění jejich estetické funkce ve</w:t>
      </w:r>
      <w:r>
        <w:rPr>
          <w:spacing w:val="-7"/>
          <w:sz w:val="22"/>
        </w:rPr>
        <w:t> </w:t>
      </w:r>
      <w:r>
        <w:rPr>
          <w:sz w:val="22"/>
        </w:rPr>
        <w:t>městě.</w:t>
      </w:r>
    </w:p>
    <w:p>
      <w:pPr>
        <w:pStyle w:val="ListParagraph"/>
        <w:numPr>
          <w:ilvl w:val="0"/>
          <w:numId w:val="2"/>
        </w:numPr>
        <w:tabs>
          <w:tab w:pos="1024" w:val="left" w:leader="none"/>
          <w:tab w:pos="1025" w:val="left" w:leader="none"/>
        </w:tabs>
        <w:spacing w:line="240" w:lineRule="auto" w:before="18" w:after="0"/>
        <w:ind w:left="1024" w:right="146" w:hanging="853"/>
        <w:jc w:val="left"/>
        <w:rPr>
          <w:sz w:val="22"/>
        </w:rPr>
      </w:pPr>
      <w:r>
        <w:rPr>
          <w:sz w:val="22"/>
        </w:rPr>
        <w:t>v souvislosti se založením pěší zóny z estetických důvodů provést odkrytí Lučního potoka v úseku od Turpišovy ulice do otevřeného</w:t>
      </w:r>
      <w:r>
        <w:rPr>
          <w:spacing w:val="-12"/>
          <w:sz w:val="22"/>
        </w:rPr>
        <w:t> </w:t>
      </w:r>
      <w:r>
        <w:rPr>
          <w:sz w:val="22"/>
        </w:rPr>
        <w:t>koryta,</w:t>
      </w:r>
    </w:p>
    <w:p>
      <w:pPr>
        <w:pStyle w:val="ListParagraph"/>
        <w:numPr>
          <w:ilvl w:val="0"/>
          <w:numId w:val="2"/>
        </w:numPr>
        <w:tabs>
          <w:tab w:pos="1024" w:val="left" w:leader="none"/>
          <w:tab w:pos="1025" w:val="left" w:leader="none"/>
        </w:tabs>
        <w:spacing w:line="240" w:lineRule="auto" w:before="19" w:after="0"/>
        <w:ind w:left="1024" w:right="148" w:hanging="853"/>
        <w:jc w:val="left"/>
        <w:rPr>
          <w:sz w:val="22"/>
        </w:rPr>
      </w:pPr>
      <w:r>
        <w:rPr>
          <w:sz w:val="22"/>
        </w:rPr>
        <w:t>dalších úsecích realizovat vyčištění, zpřístupnění a ozelenění cenných nábřežních prostor, po obnově Lučního rybníka revitalizovat celou údolní nivu Lučního</w:t>
      </w:r>
      <w:r>
        <w:rPr>
          <w:spacing w:val="-17"/>
          <w:sz w:val="22"/>
        </w:rPr>
        <w:t> </w:t>
      </w:r>
      <w:r>
        <w:rPr>
          <w:sz w:val="22"/>
        </w:rPr>
        <w:t>potoka.</w:t>
      </w:r>
    </w:p>
    <w:p>
      <w:pPr>
        <w:pStyle w:val="ListParagraph"/>
        <w:numPr>
          <w:ilvl w:val="0"/>
          <w:numId w:val="1"/>
        </w:numPr>
        <w:tabs>
          <w:tab w:pos="1024" w:val="left" w:leader="none"/>
          <w:tab w:pos="1025" w:val="left" w:leader="none"/>
          <w:tab w:pos="2219" w:val="left" w:leader="none"/>
          <w:tab w:pos="3244" w:val="left" w:leader="none"/>
          <w:tab w:pos="4240" w:val="left" w:leader="none"/>
          <w:tab w:pos="4891" w:val="left" w:leader="none"/>
          <w:tab w:pos="5560" w:val="left" w:leader="none"/>
          <w:tab w:pos="6292" w:val="left" w:leader="none"/>
          <w:tab w:pos="7785" w:val="left" w:leader="none"/>
          <w:tab w:pos="9028" w:val="left" w:leader="none"/>
        </w:tabs>
        <w:spacing w:line="244" w:lineRule="auto" w:before="117" w:after="0"/>
        <w:ind w:left="1024" w:right="145" w:hanging="853"/>
        <w:jc w:val="left"/>
        <w:rPr>
          <w:sz w:val="22"/>
        </w:rPr>
      </w:pPr>
      <w:r>
        <w:rPr>
          <w:sz w:val="22"/>
        </w:rPr>
        <w:t>Zajišťovat</w:t>
        <w:tab/>
        <w:t>ochranu</w:t>
        <w:tab/>
        <w:t>vodních</w:t>
        <w:tab/>
        <w:t>toků</w:t>
      </w:r>
      <w:r>
        <w:rPr>
          <w:rFonts w:ascii="Times New Roman" w:hAnsi="Times New Roman"/>
          <w:sz w:val="22"/>
        </w:rPr>
        <w:tab/>
      </w:r>
      <w:r>
        <w:rPr>
          <w:sz w:val="22"/>
        </w:rPr>
        <w:t>před</w:t>
        <w:tab/>
        <w:t>jejich</w:t>
        <w:tab/>
      </w:r>
      <w:r>
        <w:rPr>
          <w:b/>
          <w:sz w:val="22"/>
        </w:rPr>
        <w:t>znečištěním</w:t>
        <w:tab/>
      </w:r>
      <w:r>
        <w:rPr>
          <w:sz w:val="22"/>
        </w:rPr>
        <w:t>důslednou</w:t>
        <w:tab/>
      </w:r>
      <w:r>
        <w:rPr>
          <w:spacing w:val="-3"/>
          <w:sz w:val="22"/>
        </w:rPr>
        <w:t>likvidací </w:t>
      </w:r>
      <w:r>
        <w:rPr>
          <w:sz w:val="22"/>
        </w:rPr>
        <w:t>produkovaných odpadních</w:t>
      </w:r>
      <w:r>
        <w:rPr>
          <w:spacing w:val="-1"/>
          <w:sz w:val="22"/>
        </w:rPr>
        <w:t> </w:t>
      </w:r>
      <w:r>
        <w:rPr>
          <w:sz w:val="22"/>
        </w:rPr>
        <w:t>vod.</w:t>
      </w:r>
    </w:p>
    <w:p>
      <w:pPr>
        <w:spacing w:after="0" w:line="244" w:lineRule="auto"/>
        <w:jc w:val="left"/>
        <w:rPr>
          <w:sz w:val="22"/>
        </w:rPr>
        <w:sectPr>
          <w:pgSz w:w="11900" w:h="16840"/>
          <w:pgMar w:header="557" w:footer="582" w:top="760" w:bottom="780" w:left="960" w:right="980"/>
        </w:sectPr>
      </w:pPr>
    </w:p>
    <w:p>
      <w:pPr>
        <w:pStyle w:val="BodyText"/>
        <w:spacing w:before="1"/>
        <w:ind w:left="0" w:firstLine="0"/>
        <w:jc w:val="left"/>
      </w:pPr>
    </w:p>
    <w:p>
      <w:pPr>
        <w:pStyle w:val="ListParagraph"/>
        <w:numPr>
          <w:ilvl w:val="0"/>
          <w:numId w:val="1"/>
        </w:numPr>
        <w:tabs>
          <w:tab w:pos="1024" w:val="left" w:leader="none"/>
          <w:tab w:pos="1025" w:val="left" w:leader="none"/>
        </w:tabs>
        <w:spacing w:line="244" w:lineRule="auto" w:before="101" w:after="0"/>
        <w:ind w:left="1024" w:right="150" w:hanging="852"/>
        <w:jc w:val="left"/>
        <w:rPr>
          <w:sz w:val="22"/>
        </w:rPr>
      </w:pPr>
      <w:r>
        <w:rPr>
          <w:sz w:val="22"/>
        </w:rPr>
        <w:t>Zajišťovat ochranu území před zvýšeným </w:t>
      </w:r>
      <w:r>
        <w:rPr>
          <w:b/>
          <w:sz w:val="22"/>
        </w:rPr>
        <w:t>odtokem srážkových vod </w:t>
      </w:r>
      <w:r>
        <w:rPr>
          <w:sz w:val="22"/>
        </w:rPr>
        <w:t>především technickým řešením maximálního zadržení těchto vod v místě jejich</w:t>
      </w:r>
      <w:r>
        <w:rPr>
          <w:spacing w:val="-8"/>
          <w:sz w:val="22"/>
        </w:rPr>
        <w:t> </w:t>
      </w:r>
      <w:r>
        <w:rPr>
          <w:sz w:val="22"/>
        </w:rPr>
        <w:t>vzniku,</w:t>
      </w:r>
    </w:p>
    <w:p>
      <w:pPr>
        <w:pStyle w:val="ListParagraph"/>
        <w:numPr>
          <w:ilvl w:val="0"/>
          <w:numId w:val="2"/>
        </w:numPr>
        <w:tabs>
          <w:tab w:pos="1024" w:val="left" w:leader="none"/>
          <w:tab w:pos="1025" w:val="left" w:leader="none"/>
        </w:tabs>
        <w:spacing w:line="240" w:lineRule="auto" w:before="53" w:after="0"/>
        <w:ind w:left="1024" w:right="0" w:hanging="853"/>
        <w:jc w:val="left"/>
        <w:rPr>
          <w:sz w:val="22"/>
        </w:rPr>
      </w:pPr>
      <w:r>
        <w:rPr>
          <w:sz w:val="22"/>
        </w:rPr>
        <w:t>minimalizovat rozsah zpevněných povrchů bez možnosti</w:t>
      </w:r>
      <w:r>
        <w:rPr>
          <w:spacing w:val="-4"/>
          <w:sz w:val="22"/>
        </w:rPr>
        <w:t> </w:t>
      </w:r>
      <w:r>
        <w:rPr>
          <w:sz w:val="22"/>
        </w:rPr>
        <w:t>vsakování,</w:t>
      </w:r>
    </w:p>
    <w:p>
      <w:pPr>
        <w:pStyle w:val="ListParagraph"/>
        <w:numPr>
          <w:ilvl w:val="0"/>
          <w:numId w:val="2"/>
        </w:numPr>
        <w:tabs>
          <w:tab w:pos="1024" w:val="left" w:leader="none"/>
          <w:tab w:pos="1025" w:val="left" w:leader="none"/>
        </w:tabs>
        <w:spacing w:line="240" w:lineRule="auto" w:before="60" w:after="0"/>
        <w:ind w:left="1024" w:right="0" w:hanging="853"/>
        <w:jc w:val="left"/>
        <w:rPr>
          <w:sz w:val="22"/>
        </w:rPr>
      </w:pPr>
      <w:r>
        <w:rPr>
          <w:sz w:val="22"/>
        </w:rPr>
        <w:t>realizovat vsakovací zařízení,</w:t>
      </w:r>
    </w:p>
    <w:p>
      <w:pPr>
        <w:pStyle w:val="ListParagraph"/>
        <w:numPr>
          <w:ilvl w:val="0"/>
          <w:numId w:val="2"/>
        </w:numPr>
        <w:tabs>
          <w:tab w:pos="1024" w:val="left" w:leader="none"/>
          <w:tab w:pos="1025" w:val="left" w:leader="none"/>
        </w:tabs>
        <w:spacing w:line="240" w:lineRule="auto" w:before="58" w:after="0"/>
        <w:ind w:left="1024" w:right="146" w:hanging="852"/>
        <w:jc w:val="both"/>
        <w:rPr>
          <w:sz w:val="22"/>
        </w:rPr>
      </w:pPr>
      <w:r>
        <w:rPr>
          <w:sz w:val="22"/>
        </w:rPr>
        <w:t>při nevhodných podmínkách (např. geologických) pro zasakování využít akumulace srážkových vod v retenčních nádržích a následné regulované vypouštění do</w:t>
      </w:r>
      <w:r>
        <w:rPr>
          <w:spacing w:val="-28"/>
          <w:sz w:val="22"/>
        </w:rPr>
        <w:t> </w:t>
      </w:r>
      <w:r>
        <w:rPr>
          <w:sz w:val="22"/>
        </w:rPr>
        <w:t>recipientu.</w:t>
      </w:r>
    </w:p>
    <w:p>
      <w:pPr>
        <w:pStyle w:val="ListParagraph"/>
        <w:numPr>
          <w:ilvl w:val="0"/>
          <w:numId w:val="1"/>
        </w:numPr>
        <w:tabs>
          <w:tab w:pos="1024" w:val="left" w:leader="none"/>
          <w:tab w:pos="1025" w:val="left" w:leader="none"/>
        </w:tabs>
        <w:spacing w:line="240" w:lineRule="auto" w:before="117" w:after="0"/>
        <w:ind w:left="1024" w:right="148" w:hanging="852"/>
        <w:jc w:val="both"/>
        <w:rPr>
          <w:sz w:val="22"/>
        </w:rPr>
      </w:pPr>
      <w:r>
        <w:rPr>
          <w:sz w:val="22"/>
        </w:rPr>
        <w:t>Ve spolupráci s jednotlivými vlastníky provádět vyčištění a nutnou </w:t>
      </w:r>
      <w:r>
        <w:rPr>
          <w:b/>
          <w:sz w:val="22"/>
        </w:rPr>
        <w:t>údržbu koryt </w:t>
      </w:r>
      <w:r>
        <w:rPr>
          <w:sz w:val="22"/>
        </w:rPr>
        <w:t>vodních toků a opevnění nábřežních</w:t>
      </w:r>
      <w:r>
        <w:rPr>
          <w:spacing w:val="-2"/>
          <w:sz w:val="22"/>
        </w:rPr>
        <w:t> </w:t>
      </w:r>
      <w:r>
        <w:rPr>
          <w:sz w:val="22"/>
        </w:rPr>
        <w:t>zdí,</w:t>
      </w:r>
    </w:p>
    <w:p>
      <w:pPr>
        <w:pStyle w:val="ListParagraph"/>
        <w:numPr>
          <w:ilvl w:val="0"/>
          <w:numId w:val="2"/>
        </w:numPr>
        <w:tabs>
          <w:tab w:pos="1024" w:val="left" w:leader="none"/>
          <w:tab w:pos="1025" w:val="left" w:leader="none"/>
        </w:tabs>
        <w:spacing w:line="240" w:lineRule="auto" w:before="63" w:after="0"/>
        <w:ind w:left="1024" w:right="146" w:hanging="853"/>
        <w:jc w:val="both"/>
        <w:rPr>
          <w:sz w:val="22"/>
        </w:rPr>
      </w:pPr>
      <w:r>
        <w:rPr>
          <w:sz w:val="22"/>
        </w:rPr>
        <w:t>v úseku nad soutokem Jeřice s Vítkovským potokem odstranit havarijní stav opevnění v souvislosti s přeložkou komunikace Pobřežní rekonstrukcí nábřežních zdí v celém jejím průběhu.</w:t>
      </w:r>
    </w:p>
    <w:p>
      <w:pPr>
        <w:pStyle w:val="ListParagraph"/>
        <w:numPr>
          <w:ilvl w:val="0"/>
          <w:numId w:val="1"/>
        </w:numPr>
        <w:tabs>
          <w:tab w:pos="1024" w:val="left" w:leader="none"/>
          <w:tab w:pos="1025" w:val="left" w:leader="none"/>
        </w:tabs>
        <w:spacing w:line="240" w:lineRule="auto" w:before="116" w:after="0"/>
        <w:ind w:left="1024" w:right="0" w:hanging="853"/>
        <w:jc w:val="both"/>
        <w:rPr>
          <w:sz w:val="22"/>
        </w:rPr>
      </w:pPr>
      <w:r>
        <w:rPr>
          <w:sz w:val="22"/>
        </w:rPr>
        <w:t>Respektovat </w:t>
      </w:r>
      <w:r>
        <w:rPr>
          <w:b/>
          <w:sz w:val="22"/>
        </w:rPr>
        <w:t>stanovená záplavová území </w:t>
      </w:r>
      <w:r>
        <w:rPr>
          <w:sz w:val="22"/>
        </w:rPr>
        <w:t>Lužické Nisy a</w:t>
      </w:r>
      <w:r>
        <w:rPr>
          <w:spacing w:val="-4"/>
          <w:sz w:val="22"/>
        </w:rPr>
        <w:t> </w:t>
      </w:r>
      <w:r>
        <w:rPr>
          <w:sz w:val="22"/>
        </w:rPr>
        <w:t>Jeřice.</w:t>
      </w:r>
    </w:p>
    <w:p>
      <w:pPr>
        <w:pStyle w:val="ListParagraph"/>
        <w:numPr>
          <w:ilvl w:val="0"/>
          <w:numId w:val="2"/>
        </w:numPr>
        <w:tabs>
          <w:tab w:pos="1024" w:val="left" w:leader="none"/>
          <w:tab w:pos="1025" w:val="left" w:leader="none"/>
        </w:tabs>
        <w:spacing w:line="240" w:lineRule="auto" w:before="62" w:after="0"/>
        <w:ind w:left="1024" w:right="146" w:hanging="852"/>
        <w:jc w:val="both"/>
        <w:rPr>
          <w:sz w:val="22"/>
        </w:rPr>
      </w:pPr>
      <w:r>
        <w:rPr>
          <w:sz w:val="22"/>
        </w:rPr>
        <w:t>při změnách využití území a při veškeré stavební činnosti v záplavových územích respektovat podmínky stanovené správcem toku i povodí a místně příslušným vodoprávním úřadem, který stanovil záplavové území jako limit využití</w:t>
      </w:r>
      <w:r>
        <w:rPr>
          <w:spacing w:val="-19"/>
          <w:sz w:val="22"/>
        </w:rPr>
        <w:t> </w:t>
      </w:r>
      <w:r>
        <w:rPr>
          <w:sz w:val="22"/>
        </w:rPr>
        <w:t>území.</w:t>
      </w:r>
    </w:p>
    <w:p>
      <w:pPr>
        <w:pStyle w:val="ListParagraph"/>
        <w:numPr>
          <w:ilvl w:val="0"/>
          <w:numId w:val="1"/>
        </w:numPr>
        <w:tabs>
          <w:tab w:pos="1024" w:val="left" w:leader="none"/>
          <w:tab w:pos="1025" w:val="left" w:leader="none"/>
        </w:tabs>
        <w:spacing w:line="237" w:lineRule="auto" w:before="123" w:after="0"/>
        <w:ind w:left="1024" w:right="147" w:hanging="852"/>
        <w:jc w:val="both"/>
        <w:rPr>
          <w:sz w:val="22"/>
        </w:rPr>
      </w:pPr>
      <w:r>
        <w:rPr>
          <w:sz w:val="22"/>
        </w:rPr>
        <w:t>Pro činnosti v záplavových územích i podél ostatních vodních ploch respektovat následující upřesňující</w:t>
      </w:r>
      <w:r>
        <w:rPr>
          <w:spacing w:val="-7"/>
          <w:sz w:val="22"/>
        </w:rPr>
        <w:t> </w:t>
      </w:r>
      <w:r>
        <w:rPr>
          <w:b/>
          <w:sz w:val="22"/>
        </w:rPr>
        <w:t>podmínky</w:t>
      </w:r>
      <w:r>
        <w:rPr>
          <w:sz w:val="22"/>
        </w:rPr>
        <w:t>:</w:t>
      </w:r>
    </w:p>
    <w:p>
      <w:pPr>
        <w:pStyle w:val="ListParagraph"/>
        <w:numPr>
          <w:ilvl w:val="0"/>
          <w:numId w:val="2"/>
        </w:numPr>
        <w:tabs>
          <w:tab w:pos="1024" w:val="left" w:leader="none"/>
          <w:tab w:pos="1025" w:val="left" w:leader="none"/>
        </w:tabs>
        <w:spacing w:line="240" w:lineRule="auto" w:before="41" w:after="0"/>
        <w:ind w:left="1024" w:right="146" w:hanging="852"/>
        <w:jc w:val="both"/>
        <w:rPr>
          <w:sz w:val="22"/>
        </w:rPr>
      </w:pPr>
      <w:r>
        <w:rPr>
          <w:sz w:val="22"/>
        </w:rPr>
        <w:t>zachovávat oboustranně volný manipulační pruh v šíři min. 6m od břehové čáry z důvodu možnosti provádění</w:t>
      </w:r>
      <w:r>
        <w:rPr>
          <w:spacing w:val="-4"/>
          <w:sz w:val="22"/>
        </w:rPr>
        <w:t> </w:t>
      </w:r>
      <w:r>
        <w:rPr>
          <w:sz w:val="22"/>
        </w:rPr>
        <w:t>údržby,</w:t>
      </w:r>
    </w:p>
    <w:p>
      <w:pPr>
        <w:pStyle w:val="ListParagraph"/>
        <w:numPr>
          <w:ilvl w:val="0"/>
          <w:numId w:val="2"/>
        </w:numPr>
        <w:tabs>
          <w:tab w:pos="1024" w:val="left" w:leader="none"/>
          <w:tab w:pos="1025" w:val="left" w:leader="none"/>
        </w:tabs>
        <w:spacing w:line="240" w:lineRule="auto" w:before="38" w:after="0"/>
        <w:ind w:left="1024" w:right="149" w:hanging="852"/>
        <w:jc w:val="both"/>
        <w:rPr>
          <w:sz w:val="22"/>
        </w:rPr>
      </w:pPr>
      <w:r>
        <w:rPr>
          <w:sz w:val="22"/>
        </w:rPr>
        <w:t>nepřipouštět </w:t>
      </w:r>
      <w:r>
        <w:rPr>
          <w:b/>
          <w:sz w:val="22"/>
        </w:rPr>
        <w:t>terénní úpravy </w:t>
      </w:r>
      <w:r>
        <w:rPr>
          <w:sz w:val="22"/>
        </w:rPr>
        <w:t>ani nadměrné </w:t>
      </w:r>
      <w:r>
        <w:rPr>
          <w:b/>
          <w:sz w:val="22"/>
        </w:rPr>
        <w:t>bujení vegetace </w:t>
      </w:r>
      <w:r>
        <w:rPr>
          <w:sz w:val="22"/>
        </w:rPr>
        <w:t>omezující plynulý odtok velkých</w:t>
      </w:r>
      <w:r>
        <w:rPr>
          <w:spacing w:val="-1"/>
          <w:sz w:val="22"/>
        </w:rPr>
        <w:t> </w:t>
      </w:r>
      <w:r>
        <w:rPr>
          <w:sz w:val="22"/>
        </w:rPr>
        <w:t>vod,</w:t>
      </w:r>
    </w:p>
    <w:p>
      <w:pPr>
        <w:pStyle w:val="ListParagraph"/>
        <w:numPr>
          <w:ilvl w:val="0"/>
          <w:numId w:val="2"/>
        </w:numPr>
        <w:tabs>
          <w:tab w:pos="1024" w:val="left" w:leader="none"/>
          <w:tab w:pos="1025" w:val="left" w:leader="none"/>
        </w:tabs>
        <w:spacing w:line="240" w:lineRule="auto" w:before="38" w:after="0"/>
        <w:ind w:left="1024" w:right="146" w:hanging="853"/>
        <w:jc w:val="both"/>
        <w:rPr>
          <w:sz w:val="22"/>
        </w:rPr>
      </w:pPr>
      <w:r>
        <w:rPr>
          <w:sz w:val="22"/>
        </w:rPr>
        <w:t>v odůvodněných případech povolovat stavby určené pro potřeby </w:t>
      </w:r>
      <w:r>
        <w:rPr>
          <w:b/>
          <w:sz w:val="22"/>
        </w:rPr>
        <w:t>rekreace </w:t>
      </w:r>
      <w:r>
        <w:rPr>
          <w:sz w:val="22"/>
        </w:rPr>
        <w:t>- cyklistické stezky, sportoviště s mobilním vybavením, parkoviště pro krátkodobé parkování, zahrádky bez staveb a</w:t>
      </w:r>
      <w:r>
        <w:rPr>
          <w:spacing w:val="-3"/>
          <w:sz w:val="22"/>
        </w:rPr>
        <w:t> </w:t>
      </w:r>
      <w:r>
        <w:rPr>
          <w:sz w:val="22"/>
        </w:rPr>
        <w:t>oplocení,</w:t>
      </w:r>
    </w:p>
    <w:p>
      <w:pPr>
        <w:pStyle w:val="ListParagraph"/>
        <w:numPr>
          <w:ilvl w:val="0"/>
          <w:numId w:val="2"/>
        </w:numPr>
        <w:tabs>
          <w:tab w:pos="1024" w:val="left" w:leader="none"/>
          <w:tab w:pos="1025" w:val="left" w:leader="none"/>
        </w:tabs>
        <w:spacing w:line="235" w:lineRule="auto" w:before="46" w:after="0"/>
        <w:ind w:left="1024" w:right="151" w:hanging="852"/>
        <w:jc w:val="both"/>
        <w:rPr>
          <w:sz w:val="22"/>
        </w:rPr>
      </w:pPr>
      <w:r>
        <w:rPr>
          <w:sz w:val="22"/>
        </w:rPr>
        <w:t>v odůvodněných případech povolovat stavby, které výrazně neomezí průchod velkých vod a budou </w:t>
      </w:r>
      <w:r>
        <w:rPr>
          <w:b/>
          <w:sz w:val="22"/>
        </w:rPr>
        <w:t>konstrukčně </w:t>
      </w:r>
      <w:r>
        <w:rPr>
          <w:sz w:val="22"/>
        </w:rPr>
        <w:t>řešeny tak, aby vodou nebyly</w:t>
      </w:r>
      <w:r>
        <w:rPr>
          <w:spacing w:val="-13"/>
          <w:sz w:val="22"/>
        </w:rPr>
        <w:t> </w:t>
      </w:r>
      <w:r>
        <w:rPr>
          <w:sz w:val="22"/>
        </w:rPr>
        <w:t>poškozeny,</w:t>
      </w:r>
    </w:p>
    <w:p>
      <w:pPr>
        <w:pStyle w:val="ListParagraph"/>
        <w:numPr>
          <w:ilvl w:val="0"/>
          <w:numId w:val="2"/>
        </w:numPr>
        <w:tabs>
          <w:tab w:pos="1024" w:val="left" w:leader="none"/>
          <w:tab w:pos="1025" w:val="left" w:leader="none"/>
        </w:tabs>
        <w:spacing w:line="240" w:lineRule="auto" w:before="46" w:after="0"/>
        <w:ind w:left="1024" w:right="147" w:hanging="852"/>
        <w:jc w:val="both"/>
        <w:rPr>
          <w:sz w:val="22"/>
        </w:rPr>
      </w:pPr>
      <w:r>
        <w:rPr>
          <w:sz w:val="22"/>
        </w:rPr>
        <w:t>veškeré zásahy do toků nebo související s tokem (úpravy nábřežních zdí, výústní objekty, regulace toku, odkrytí zatrubněné vodoteče, přemostění atd.) projednat se správcem</w:t>
      </w:r>
      <w:r>
        <w:rPr>
          <w:spacing w:val="-36"/>
          <w:sz w:val="22"/>
        </w:rPr>
        <w:t> </w:t>
      </w:r>
      <w:r>
        <w:rPr>
          <w:sz w:val="22"/>
        </w:rPr>
        <w:t>toku,</w:t>
      </w:r>
    </w:p>
    <w:p>
      <w:pPr>
        <w:pStyle w:val="ListParagraph"/>
        <w:numPr>
          <w:ilvl w:val="0"/>
          <w:numId w:val="1"/>
        </w:numPr>
        <w:tabs>
          <w:tab w:pos="1024" w:val="left" w:leader="none"/>
          <w:tab w:pos="1025" w:val="left" w:leader="none"/>
        </w:tabs>
        <w:spacing w:line="240" w:lineRule="auto" w:before="117" w:after="0"/>
        <w:ind w:left="1024" w:right="146" w:hanging="852"/>
        <w:jc w:val="both"/>
        <w:rPr>
          <w:sz w:val="22"/>
        </w:rPr>
      </w:pPr>
      <w:r>
        <w:rPr>
          <w:sz w:val="22"/>
        </w:rPr>
        <w:t>Nepovolovat takové stavby a opatření, která by mohla zhoršit průtok povodňové vlny        v </w:t>
      </w:r>
      <w:r>
        <w:rPr>
          <w:b/>
          <w:sz w:val="22"/>
        </w:rPr>
        <w:t>jiné</w:t>
      </w:r>
      <w:r>
        <w:rPr>
          <w:b/>
          <w:spacing w:val="-3"/>
          <w:sz w:val="22"/>
        </w:rPr>
        <w:t> </w:t>
      </w:r>
      <w:r>
        <w:rPr>
          <w:b/>
          <w:sz w:val="22"/>
        </w:rPr>
        <w:t>obci</w:t>
      </w:r>
      <w:r>
        <w:rPr>
          <w:sz w:val="22"/>
        </w:rPr>
        <w:t>.</w:t>
      </w:r>
    </w:p>
    <w:p>
      <w:pPr>
        <w:pStyle w:val="ListParagraph"/>
        <w:numPr>
          <w:ilvl w:val="0"/>
          <w:numId w:val="1"/>
        </w:numPr>
        <w:tabs>
          <w:tab w:pos="1024" w:val="left" w:leader="none"/>
          <w:tab w:pos="1025" w:val="left" w:leader="none"/>
        </w:tabs>
        <w:spacing w:line="240" w:lineRule="auto" w:before="118" w:after="0"/>
        <w:ind w:left="1024" w:right="146" w:hanging="852"/>
        <w:jc w:val="both"/>
        <w:rPr>
          <w:sz w:val="22"/>
        </w:rPr>
      </w:pPr>
      <w:r>
        <w:rPr>
          <w:sz w:val="22"/>
        </w:rPr>
        <w:t>V rámci </w:t>
      </w:r>
      <w:r>
        <w:rPr>
          <w:b/>
          <w:sz w:val="22"/>
        </w:rPr>
        <w:t>snižování ohrožení území povodněmi </w:t>
      </w:r>
      <w:r>
        <w:rPr>
          <w:sz w:val="22"/>
        </w:rPr>
        <w:t>vedle revitalizace problémových úseků vodních toků resp. zkapacitnění části koryt toků realizovat adekvátní protipovodňová opatření v</w:t>
      </w:r>
      <w:r>
        <w:rPr>
          <w:spacing w:val="-6"/>
          <w:sz w:val="22"/>
        </w:rPr>
        <w:t> </w:t>
      </w:r>
      <w:r>
        <w:rPr>
          <w:sz w:val="22"/>
        </w:rPr>
        <w:t>krajině,</w:t>
      </w:r>
    </w:p>
    <w:p>
      <w:pPr>
        <w:pStyle w:val="ListParagraph"/>
        <w:numPr>
          <w:ilvl w:val="0"/>
          <w:numId w:val="2"/>
        </w:numPr>
        <w:tabs>
          <w:tab w:pos="1024" w:val="left" w:leader="none"/>
          <w:tab w:pos="1025" w:val="left" w:leader="none"/>
        </w:tabs>
        <w:spacing w:line="240" w:lineRule="auto" w:before="21" w:after="0"/>
        <w:ind w:left="1024" w:right="145" w:hanging="853"/>
        <w:jc w:val="both"/>
        <w:rPr>
          <w:sz w:val="22"/>
        </w:rPr>
      </w:pPr>
      <w:r>
        <w:rPr>
          <w:sz w:val="22"/>
        </w:rPr>
        <w:t>jako součást protipovodňových opatření propojovat a rozšiřovat pásy sídelní zeleně podél vodních toků a ve stanovených záplavových</w:t>
      </w:r>
      <w:r>
        <w:rPr>
          <w:spacing w:val="-5"/>
          <w:sz w:val="22"/>
        </w:rPr>
        <w:t> </w:t>
      </w:r>
      <w:r>
        <w:rPr>
          <w:sz w:val="22"/>
        </w:rPr>
        <w:t>územích,</w:t>
      </w:r>
    </w:p>
    <w:p>
      <w:pPr>
        <w:pStyle w:val="ListParagraph"/>
        <w:numPr>
          <w:ilvl w:val="0"/>
          <w:numId w:val="2"/>
        </w:numPr>
        <w:tabs>
          <w:tab w:pos="1024" w:val="left" w:leader="none"/>
          <w:tab w:pos="1025" w:val="left" w:leader="none"/>
        </w:tabs>
        <w:spacing w:line="240" w:lineRule="auto" w:before="19" w:after="0"/>
        <w:ind w:left="1024" w:right="146" w:hanging="852"/>
        <w:jc w:val="both"/>
        <w:rPr>
          <w:sz w:val="22"/>
        </w:rPr>
      </w:pPr>
      <w:r>
        <w:rPr>
          <w:sz w:val="22"/>
        </w:rPr>
        <w:t>realizaci protipovodňových opatření a staveb ve volné krajině považovat za nedílnou součást využití nezastavitelných ploch s rozdílným způsobem</w:t>
      </w:r>
      <w:r>
        <w:rPr>
          <w:spacing w:val="-10"/>
          <w:sz w:val="22"/>
        </w:rPr>
        <w:t> </w:t>
      </w:r>
      <w:r>
        <w:rPr>
          <w:sz w:val="22"/>
        </w:rPr>
        <w:t>využití.</w:t>
      </w:r>
    </w:p>
    <w:p>
      <w:pPr>
        <w:pStyle w:val="ListParagraph"/>
        <w:numPr>
          <w:ilvl w:val="0"/>
          <w:numId w:val="1"/>
        </w:numPr>
        <w:tabs>
          <w:tab w:pos="1024" w:val="left" w:leader="none"/>
          <w:tab w:pos="1025" w:val="left" w:leader="none"/>
        </w:tabs>
        <w:spacing w:line="240" w:lineRule="auto" w:before="122" w:after="0"/>
        <w:ind w:left="1024" w:right="146" w:hanging="852"/>
        <w:jc w:val="both"/>
        <w:rPr>
          <w:sz w:val="22"/>
        </w:rPr>
      </w:pPr>
      <w:r>
        <w:rPr>
          <w:sz w:val="22"/>
        </w:rPr>
        <w:t>Ve zvláště chráněném území Přírodního parku Ještěd zvyšovat retenční schopnost krajiny přírodě blízkými způsoby:</w:t>
      </w:r>
    </w:p>
    <w:p>
      <w:pPr>
        <w:pStyle w:val="ListParagraph"/>
        <w:numPr>
          <w:ilvl w:val="0"/>
          <w:numId w:val="2"/>
        </w:numPr>
        <w:tabs>
          <w:tab w:pos="1024" w:val="left" w:leader="none"/>
          <w:tab w:pos="1025" w:val="left" w:leader="none"/>
        </w:tabs>
        <w:spacing w:line="240" w:lineRule="auto" w:before="39" w:after="0"/>
        <w:ind w:left="1024" w:right="0" w:hanging="853"/>
        <w:jc w:val="both"/>
        <w:rPr>
          <w:sz w:val="22"/>
        </w:rPr>
      </w:pPr>
      <w:r>
        <w:rPr>
          <w:sz w:val="22"/>
        </w:rPr>
        <w:t>neprovádět protipovodňová opatření technického</w:t>
      </w:r>
      <w:r>
        <w:rPr>
          <w:spacing w:val="-5"/>
          <w:sz w:val="22"/>
        </w:rPr>
        <w:t> </w:t>
      </w:r>
      <w:r>
        <w:rPr>
          <w:sz w:val="22"/>
        </w:rPr>
        <w:t>charakteru,</w:t>
      </w:r>
    </w:p>
    <w:p>
      <w:pPr>
        <w:pStyle w:val="ListParagraph"/>
        <w:numPr>
          <w:ilvl w:val="0"/>
          <w:numId w:val="2"/>
        </w:numPr>
        <w:tabs>
          <w:tab w:pos="1024" w:val="left" w:leader="none"/>
          <w:tab w:pos="1025" w:val="left" w:leader="none"/>
        </w:tabs>
        <w:spacing w:line="240" w:lineRule="auto" w:before="39" w:after="0"/>
        <w:ind w:left="1024" w:right="0" w:hanging="853"/>
        <w:jc w:val="both"/>
        <w:rPr>
          <w:sz w:val="22"/>
        </w:rPr>
      </w:pPr>
      <w:r>
        <w:rPr>
          <w:sz w:val="22"/>
        </w:rPr>
        <w:t>vyloučit zásahy měnící charakter úseků s dochovaným přírodním</w:t>
      </w:r>
      <w:r>
        <w:rPr>
          <w:spacing w:val="-7"/>
          <w:sz w:val="22"/>
        </w:rPr>
        <w:t> </w:t>
      </w:r>
      <w:r>
        <w:rPr>
          <w:sz w:val="22"/>
        </w:rPr>
        <w:t>korytem,</w:t>
      </w:r>
    </w:p>
    <w:p>
      <w:pPr>
        <w:pStyle w:val="ListParagraph"/>
        <w:numPr>
          <w:ilvl w:val="0"/>
          <w:numId w:val="2"/>
        </w:numPr>
        <w:tabs>
          <w:tab w:pos="1024" w:val="left" w:leader="none"/>
          <w:tab w:pos="1025" w:val="left" w:leader="none"/>
        </w:tabs>
        <w:spacing w:line="240" w:lineRule="auto" w:before="41" w:after="0"/>
        <w:ind w:left="1024" w:right="0" w:hanging="853"/>
        <w:jc w:val="both"/>
        <w:rPr>
          <w:sz w:val="22"/>
        </w:rPr>
      </w:pPr>
      <w:r>
        <w:rPr>
          <w:sz w:val="22"/>
        </w:rPr>
        <w:t>zajišťovat migrační prostupnost toků pro vodní</w:t>
      </w:r>
      <w:r>
        <w:rPr>
          <w:spacing w:val="-11"/>
          <w:sz w:val="22"/>
        </w:rPr>
        <w:t> </w:t>
      </w:r>
      <w:r>
        <w:rPr>
          <w:sz w:val="22"/>
        </w:rPr>
        <w:t>organismy.</w:t>
      </w:r>
    </w:p>
    <w:p>
      <w:pPr>
        <w:pStyle w:val="ListParagraph"/>
        <w:numPr>
          <w:ilvl w:val="0"/>
          <w:numId w:val="1"/>
        </w:numPr>
        <w:tabs>
          <w:tab w:pos="1024" w:val="left" w:leader="none"/>
          <w:tab w:pos="1025" w:val="left" w:leader="none"/>
        </w:tabs>
        <w:spacing w:line="242" w:lineRule="auto" w:before="75" w:after="0"/>
        <w:ind w:left="1024" w:right="146" w:hanging="852"/>
        <w:jc w:val="both"/>
        <w:rPr>
          <w:sz w:val="22"/>
        </w:rPr>
      </w:pPr>
      <w:r>
        <w:rPr>
          <w:sz w:val="22"/>
        </w:rPr>
        <w:t>Investice do protipovodňových opatření územně stabilizovat jako </w:t>
      </w:r>
      <w:r>
        <w:rPr>
          <w:b/>
          <w:sz w:val="22"/>
        </w:rPr>
        <w:t>veřejně prospěšné stavby a opatření</w:t>
      </w:r>
      <w:r>
        <w:rPr>
          <w:sz w:val="22"/>
        </w:rPr>
        <w:t>, jedná se zejména o koridor protipovodňových opatření PO9 na Lužické Nise vyplývající ze ZÚR</w:t>
      </w:r>
      <w:r>
        <w:rPr>
          <w:spacing w:val="-4"/>
          <w:sz w:val="22"/>
        </w:rPr>
        <w:t> </w:t>
      </w:r>
      <w:r>
        <w:rPr>
          <w:sz w:val="22"/>
        </w:rPr>
        <w:t>LK.</w:t>
      </w:r>
    </w:p>
    <w:p>
      <w:pPr>
        <w:spacing w:after="0" w:line="242" w:lineRule="auto"/>
        <w:jc w:val="both"/>
        <w:rPr>
          <w:sz w:val="22"/>
        </w:rPr>
        <w:sectPr>
          <w:pgSz w:w="11900" w:h="16840"/>
          <w:pgMar w:header="557" w:footer="582" w:top="760" w:bottom="780" w:left="960" w:right="980"/>
        </w:sectPr>
      </w:pPr>
    </w:p>
    <w:p>
      <w:pPr>
        <w:pStyle w:val="BodyText"/>
        <w:ind w:left="0" w:firstLine="0"/>
        <w:jc w:val="left"/>
        <w:rPr>
          <w:sz w:val="20"/>
        </w:rPr>
      </w:pPr>
    </w:p>
    <w:p>
      <w:pPr>
        <w:pStyle w:val="BodyText"/>
        <w:spacing w:before="3"/>
        <w:ind w:left="0" w:firstLine="0"/>
        <w:jc w:val="left"/>
        <w:rPr>
          <w:sz w:val="11"/>
        </w:rPr>
      </w:pPr>
    </w:p>
    <w:p>
      <w:pPr>
        <w:pStyle w:val="BodyText"/>
        <w:ind w:left="144" w:firstLine="0"/>
        <w:jc w:val="left"/>
        <w:rPr>
          <w:sz w:val="20"/>
        </w:rPr>
      </w:pPr>
      <w:r>
        <w:rPr>
          <w:sz w:val="20"/>
        </w:rPr>
        <w:pict>
          <v:shape style="width:484.7pt;height:15pt;mso-position-horizontal-relative:char;mso-position-vertical-relative:line" type="#_x0000_t202" filled="true" fillcolor="#ccffff" stroked="false">
            <w10:anchorlock/>
            <v:textbox inset="0,0,0,0">
              <w:txbxContent>
                <w:p>
                  <w:pPr>
                    <w:tabs>
                      <w:tab w:pos="880" w:val="left" w:leader="none"/>
                    </w:tabs>
                    <w:spacing w:line="295" w:lineRule="exact" w:before="0"/>
                    <w:ind w:left="28" w:right="0" w:firstLine="0"/>
                    <w:jc w:val="left"/>
                    <w:rPr>
                      <w:b/>
                      <w:sz w:val="26"/>
                    </w:rPr>
                  </w:pPr>
                  <w:r>
                    <w:rPr>
                      <w:b/>
                      <w:sz w:val="26"/>
                    </w:rPr>
                    <w:t>E.5</w:t>
                    <w:tab/>
                    <w:t>PROTIEROZNÍ</w:t>
                  </w:r>
                  <w:r>
                    <w:rPr>
                      <w:b/>
                      <w:spacing w:val="1"/>
                      <w:sz w:val="26"/>
                    </w:rPr>
                    <w:t> </w:t>
                  </w:r>
                  <w:r>
                    <w:rPr>
                      <w:b/>
                      <w:sz w:val="26"/>
                    </w:rPr>
                    <w:t>OPATŘENÍ</w:t>
                  </w:r>
                </w:p>
              </w:txbxContent>
            </v:textbox>
            <v:fill type="solid"/>
          </v:shape>
        </w:pict>
      </w:r>
      <w:r>
        <w:rPr>
          <w:sz w:val="20"/>
        </w:rPr>
      </w:r>
    </w:p>
    <w:p>
      <w:pPr>
        <w:pStyle w:val="ListParagraph"/>
        <w:numPr>
          <w:ilvl w:val="0"/>
          <w:numId w:val="1"/>
        </w:numPr>
        <w:tabs>
          <w:tab w:pos="1024" w:val="left" w:leader="none"/>
          <w:tab w:pos="1025" w:val="left" w:leader="none"/>
        </w:tabs>
        <w:spacing w:line="240" w:lineRule="auto" w:before="100" w:after="0"/>
        <w:ind w:left="1024" w:right="0" w:hanging="853"/>
        <w:jc w:val="left"/>
        <w:rPr>
          <w:sz w:val="22"/>
        </w:rPr>
      </w:pPr>
      <w:r>
        <w:rPr>
          <w:sz w:val="22"/>
        </w:rPr>
        <w:t>Zvyšovat </w:t>
      </w:r>
      <w:r>
        <w:rPr>
          <w:b/>
          <w:sz w:val="22"/>
        </w:rPr>
        <w:t>retenční schopnost krajiny </w:t>
      </w:r>
      <w:r>
        <w:rPr>
          <w:sz w:val="22"/>
        </w:rPr>
        <w:t>přírodě blízkými</w:t>
      </w:r>
      <w:r>
        <w:rPr>
          <w:spacing w:val="-5"/>
          <w:sz w:val="22"/>
        </w:rPr>
        <w:t> </w:t>
      </w:r>
      <w:r>
        <w:rPr>
          <w:sz w:val="22"/>
        </w:rPr>
        <w:t>způsoby.</w:t>
      </w:r>
    </w:p>
    <w:p>
      <w:pPr>
        <w:pStyle w:val="ListParagraph"/>
        <w:numPr>
          <w:ilvl w:val="0"/>
          <w:numId w:val="1"/>
        </w:numPr>
        <w:tabs>
          <w:tab w:pos="1024" w:val="left" w:leader="none"/>
          <w:tab w:pos="1025" w:val="left" w:leader="none"/>
        </w:tabs>
        <w:spacing w:line="244" w:lineRule="auto" w:before="119" w:after="0"/>
        <w:ind w:left="1024" w:right="146" w:hanging="853"/>
        <w:jc w:val="left"/>
        <w:rPr>
          <w:sz w:val="22"/>
        </w:rPr>
      </w:pPr>
      <w:r>
        <w:rPr>
          <w:sz w:val="22"/>
        </w:rPr>
        <w:t>Realizaci </w:t>
      </w:r>
      <w:r>
        <w:rPr>
          <w:b/>
          <w:sz w:val="22"/>
        </w:rPr>
        <w:t>protierozních opatření a staveb </w:t>
      </w:r>
      <w:r>
        <w:rPr>
          <w:sz w:val="22"/>
        </w:rPr>
        <w:t>ve volné krajině považovat za nedílnou součást využití nezastavitelných ploch s rozdílným způsobem</w:t>
      </w:r>
      <w:r>
        <w:rPr>
          <w:spacing w:val="-10"/>
          <w:sz w:val="22"/>
        </w:rPr>
        <w:t> </w:t>
      </w:r>
      <w:r>
        <w:rPr>
          <w:sz w:val="22"/>
        </w:rPr>
        <w:t>využití.</w:t>
      </w:r>
    </w:p>
    <w:p>
      <w:pPr>
        <w:pStyle w:val="ListParagraph"/>
        <w:numPr>
          <w:ilvl w:val="0"/>
          <w:numId w:val="1"/>
        </w:numPr>
        <w:tabs>
          <w:tab w:pos="1024" w:val="left" w:leader="none"/>
          <w:tab w:pos="1025" w:val="left" w:leader="none"/>
        </w:tabs>
        <w:spacing w:line="240" w:lineRule="auto" w:before="110" w:after="0"/>
        <w:ind w:left="1024" w:right="0" w:hanging="853"/>
        <w:jc w:val="left"/>
        <w:rPr>
          <w:sz w:val="22"/>
        </w:rPr>
      </w:pPr>
      <w:r>
        <w:rPr>
          <w:sz w:val="22"/>
        </w:rPr>
        <w:t>Pro eliminaci případných </w:t>
      </w:r>
      <w:r>
        <w:rPr>
          <w:b/>
          <w:sz w:val="22"/>
        </w:rPr>
        <w:t>erozních</w:t>
      </w:r>
      <w:r>
        <w:rPr>
          <w:b/>
          <w:spacing w:val="2"/>
          <w:sz w:val="22"/>
        </w:rPr>
        <w:t> </w:t>
      </w:r>
      <w:r>
        <w:rPr>
          <w:b/>
          <w:sz w:val="22"/>
        </w:rPr>
        <w:t>jevů</w:t>
      </w:r>
      <w:r>
        <w:rPr>
          <w:sz w:val="22"/>
        </w:rPr>
        <w:t>:</w:t>
      </w:r>
    </w:p>
    <w:p>
      <w:pPr>
        <w:pStyle w:val="ListParagraph"/>
        <w:numPr>
          <w:ilvl w:val="0"/>
          <w:numId w:val="2"/>
        </w:numPr>
        <w:tabs>
          <w:tab w:pos="1024" w:val="left" w:leader="none"/>
          <w:tab w:pos="1025" w:val="left" w:leader="none"/>
        </w:tabs>
        <w:spacing w:line="240" w:lineRule="auto" w:before="64" w:after="0"/>
        <w:ind w:left="1024" w:right="148" w:hanging="852"/>
        <w:jc w:val="both"/>
        <w:rPr>
          <w:sz w:val="22"/>
        </w:rPr>
      </w:pPr>
      <w:r>
        <w:rPr>
          <w:sz w:val="22"/>
        </w:rPr>
        <w:t>vhodně rozmístit na zemědělské půdě odpovídající podíl pozemků plošných a liniových prvků </w:t>
      </w:r>
      <w:r>
        <w:rPr>
          <w:b/>
          <w:sz w:val="22"/>
        </w:rPr>
        <w:t>ochranné a doprovodné zeleně</w:t>
      </w:r>
      <w:r>
        <w:rPr>
          <w:sz w:val="22"/>
        </w:rPr>
        <w:t>, jejichž charakter a pěstební zásahy na nich realizované vedou k eliminaci případné</w:t>
      </w:r>
      <w:r>
        <w:rPr>
          <w:spacing w:val="1"/>
          <w:sz w:val="22"/>
        </w:rPr>
        <w:t> </w:t>
      </w:r>
      <w:r>
        <w:rPr>
          <w:sz w:val="22"/>
        </w:rPr>
        <w:t>eroze,</w:t>
      </w:r>
    </w:p>
    <w:p>
      <w:pPr>
        <w:pStyle w:val="ListParagraph"/>
        <w:numPr>
          <w:ilvl w:val="0"/>
          <w:numId w:val="2"/>
        </w:numPr>
        <w:tabs>
          <w:tab w:pos="1024" w:val="left" w:leader="none"/>
          <w:tab w:pos="1025" w:val="left" w:leader="none"/>
        </w:tabs>
        <w:spacing w:line="252" w:lineRule="exact" w:before="59" w:after="0"/>
        <w:ind w:left="1024" w:right="0" w:hanging="853"/>
        <w:jc w:val="both"/>
        <w:rPr>
          <w:sz w:val="22"/>
        </w:rPr>
      </w:pPr>
      <w:r>
        <w:rPr>
          <w:sz w:val="22"/>
        </w:rPr>
        <w:t>vyloučit</w:t>
      </w:r>
      <w:r>
        <w:rPr>
          <w:spacing w:val="24"/>
          <w:sz w:val="22"/>
        </w:rPr>
        <w:t> </w:t>
      </w:r>
      <w:r>
        <w:rPr>
          <w:sz w:val="22"/>
        </w:rPr>
        <w:t>orné</w:t>
      </w:r>
      <w:r>
        <w:rPr>
          <w:spacing w:val="24"/>
          <w:sz w:val="22"/>
        </w:rPr>
        <w:t> </w:t>
      </w:r>
      <w:r>
        <w:rPr>
          <w:sz w:val="22"/>
        </w:rPr>
        <w:t>hospodaření</w:t>
      </w:r>
      <w:r>
        <w:rPr>
          <w:spacing w:val="20"/>
          <w:sz w:val="22"/>
        </w:rPr>
        <w:t> </w:t>
      </w:r>
      <w:r>
        <w:rPr>
          <w:sz w:val="22"/>
        </w:rPr>
        <w:t>či</w:t>
      </w:r>
      <w:r>
        <w:rPr>
          <w:spacing w:val="22"/>
          <w:sz w:val="22"/>
        </w:rPr>
        <w:t> </w:t>
      </w:r>
      <w:r>
        <w:rPr>
          <w:sz w:val="22"/>
        </w:rPr>
        <w:t>pěstování</w:t>
      </w:r>
      <w:r>
        <w:rPr>
          <w:spacing w:val="23"/>
          <w:sz w:val="22"/>
        </w:rPr>
        <w:t> </w:t>
      </w:r>
      <w:r>
        <w:rPr>
          <w:sz w:val="22"/>
        </w:rPr>
        <w:t>z</w:t>
      </w:r>
      <w:r>
        <w:rPr>
          <w:spacing w:val="-3"/>
          <w:sz w:val="22"/>
        </w:rPr>
        <w:t> </w:t>
      </w:r>
      <w:r>
        <w:rPr>
          <w:sz w:val="22"/>
        </w:rPr>
        <w:t>hlediska</w:t>
      </w:r>
      <w:r>
        <w:rPr>
          <w:spacing w:val="24"/>
          <w:sz w:val="22"/>
        </w:rPr>
        <w:t> </w:t>
      </w:r>
      <w:r>
        <w:rPr>
          <w:sz w:val="22"/>
        </w:rPr>
        <w:t>eroze</w:t>
      </w:r>
      <w:r>
        <w:rPr>
          <w:spacing w:val="23"/>
          <w:sz w:val="22"/>
        </w:rPr>
        <w:t> </w:t>
      </w:r>
      <w:r>
        <w:rPr>
          <w:sz w:val="22"/>
        </w:rPr>
        <w:t>problematických</w:t>
      </w:r>
      <w:r>
        <w:rPr>
          <w:spacing w:val="24"/>
          <w:sz w:val="22"/>
        </w:rPr>
        <w:t> </w:t>
      </w:r>
      <w:r>
        <w:rPr>
          <w:sz w:val="22"/>
        </w:rPr>
        <w:t>plodin</w:t>
      </w:r>
      <w:r>
        <w:rPr>
          <w:spacing w:val="24"/>
          <w:sz w:val="22"/>
        </w:rPr>
        <w:t> </w:t>
      </w:r>
      <w:r>
        <w:rPr>
          <w:sz w:val="22"/>
        </w:rPr>
        <w:t>ve</w:t>
      </w:r>
    </w:p>
    <w:p>
      <w:pPr>
        <w:pStyle w:val="Heading3"/>
        <w:spacing w:line="251" w:lineRule="exact" w:before="0"/>
        <w:jc w:val="both"/>
        <w:rPr>
          <w:b w:val="0"/>
        </w:rPr>
      </w:pPr>
      <w:r>
        <w:rPr/>
        <w:t>svažitých pozemcích</w:t>
      </w:r>
      <w:r>
        <w:rPr>
          <w:b w:val="0"/>
        </w:rPr>
        <w:t>,</w:t>
      </w:r>
    </w:p>
    <w:p>
      <w:pPr>
        <w:pStyle w:val="ListParagraph"/>
        <w:numPr>
          <w:ilvl w:val="0"/>
          <w:numId w:val="2"/>
        </w:numPr>
        <w:tabs>
          <w:tab w:pos="1024" w:val="left" w:leader="none"/>
          <w:tab w:pos="1025" w:val="left" w:leader="none"/>
        </w:tabs>
        <w:spacing w:line="240" w:lineRule="auto" w:before="61" w:after="0"/>
        <w:ind w:left="1024" w:right="0" w:hanging="853"/>
        <w:jc w:val="both"/>
        <w:rPr>
          <w:sz w:val="22"/>
        </w:rPr>
      </w:pPr>
      <w:r>
        <w:rPr>
          <w:sz w:val="22"/>
        </w:rPr>
        <w:t>důsledně dodržovat </w:t>
      </w:r>
      <w:r>
        <w:rPr>
          <w:b/>
          <w:sz w:val="22"/>
        </w:rPr>
        <w:t>technologickou kázeň </w:t>
      </w:r>
      <w:r>
        <w:rPr>
          <w:sz w:val="22"/>
        </w:rPr>
        <w:t>zemědělského</w:t>
      </w:r>
      <w:r>
        <w:rPr>
          <w:spacing w:val="-5"/>
          <w:sz w:val="22"/>
        </w:rPr>
        <w:t> </w:t>
      </w:r>
      <w:r>
        <w:rPr>
          <w:sz w:val="22"/>
        </w:rPr>
        <w:t>hospodaření,</w:t>
      </w:r>
    </w:p>
    <w:p>
      <w:pPr>
        <w:pStyle w:val="ListParagraph"/>
        <w:numPr>
          <w:ilvl w:val="0"/>
          <w:numId w:val="2"/>
        </w:numPr>
        <w:tabs>
          <w:tab w:pos="1024" w:val="left" w:leader="none"/>
          <w:tab w:pos="1025" w:val="left" w:leader="none"/>
        </w:tabs>
        <w:spacing w:line="242" w:lineRule="auto" w:before="58" w:after="0"/>
        <w:ind w:left="1024" w:right="146" w:hanging="853"/>
        <w:jc w:val="both"/>
        <w:rPr>
          <w:sz w:val="22"/>
        </w:rPr>
      </w:pPr>
      <w:r>
        <w:rPr>
          <w:sz w:val="22"/>
        </w:rPr>
        <w:t>při obnově lesů svažitých partií náchylných ke vzniku </w:t>
      </w:r>
      <w:r>
        <w:rPr>
          <w:b/>
          <w:sz w:val="22"/>
        </w:rPr>
        <w:t>rýhové eroze </w:t>
      </w:r>
      <w:r>
        <w:rPr>
          <w:sz w:val="22"/>
        </w:rPr>
        <w:t>volit k půdě a pokryvu šetrné formy vyklizování a soustřeďování vytěžené dřevní</w:t>
      </w:r>
      <w:r>
        <w:rPr>
          <w:spacing w:val="-16"/>
          <w:sz w:val="22"/>
        </w:rPr>
        <w:t> </w:t>
      </w:r>
      <w:r>
        <w:rPr>
          <w:sz w:val="22"/>
        </w:rPr>
        <w:t>hmoty.</w:t>
      </w:r>
    </w:p>
    <w:p>
      <w:pPr>
        <w:pStyle w:val="BodyText"/>
        <w:spacing w:before="8"/>
        <w:ind w:left="0" w:firstLine="0"/>
        <w:jc w:val="left"/>
        <w:rPr>
          <w:sz w:val="18"/>
        </w:rPr>
      </w:pPr>
      <w:r>
        <w:rPr/>
        <w:pict>
          <v:shape style="position:absolute;margin-left:55.199997pt;margin-top:11.977877pt;width:484.7pt;height:15pt;mso-position-horizontal-relative:page;mso-position-vertical-relative:paragraph;z-index:-15715328;mso-wrap-distance-left:0;mso-wrap-distance-right:0" type="#_x0000_t202" filled="true" fillcolor="#ccffff" stroked="false">
            <v:textbox inset="0,0,0,0">
              <w:txbxContent>
                <w:p>
                  <w:pPr>
                    <w:tabs>
                      <w:tab w:pos="880" w:val="left" w:leader="none"/>
                    </w:tabs>
                    <w:spacing w:line="295" w:lineRule="exact" w:before="0"/>
                    <w:ind w:left="28" w:right="0" w:firstLine="0"/>
                    <w:jc w:val="left"/>
                    <w:rPr>
                      <w:b/>
                      <w:sz w:val="26"/>
                    </w:rPr>
                  </w:pPr>
                  <w:r>
                    <w:rPr>
                      <w:b/>
                      <w:sz w:val="26"/>
                    </w:rPr>
                    <w:t>E.6</w:t>
                    <w:tab/>
                    <w:t>PROSTUPNOST</w:t>
                  </w:r>
                  <w:r>
                    <w:rPr>
                      <w:b/>
                      <w:spacing w:val="-2"/>
                      <w:sz w:val="26"/>
                    </w:rPr>
                    <w:t> </w:t>
                  </w:r>
                  <w:r>
                    <w:rPr>
                      <w:b/>
                      <w:sz w:val="26"/>
                    </w:rPr>
                    <w:t>KRAJINY</w:t>
                  </w:r>
                </w:p>
              </w:txbxContent>
            </v:textbox>
            <v:fill type="solid"/>
            <w10:wrap type="topAndBottom"/>
          </v:shape>
        </w:pict>
      </w:r>
    </w:p>
    <w:p>
      <w:pPr>
        <w:pStyle w:val="ListParagraph"/>
        <w:numPr>
          <w:ilvl w:val="0"/>
          <w:numId w:val="1"/>
        </w:numPr>
        <w:tabs>
          <w:tab w:pos="1024" w:val="left" w:leader="none"/>
          <w:tab w:pos="1025" w:val="left" w:leader="none"/>
        </w:tabs>
        <w:spacing w:line="240" w:lineRule="auto" w:before="100" w:after="0"/>
        <w:ind w:left="1024" w:right="144" w:hanging="852"/>
        <w:jc w:val="both"/>
        <w:rPr>
          <w:sz w:val="22"/>
        </w:rPr>
      </w:pPr>
      <w:r>
        <w:rPr>
          <w:sz w:val="22"/>
        </w:rPr>
        <w:t>Zajistit </w:t>
      </w:r>
      <w:r>
        <w:rPr>
          <w:b/>
          <w:sz w:val="22"/>
        </w:rPr>
        <w:t>běžnou </w:t>
      </w:r>
      <w:r>
        <w:rPr>
          <w:sz w:val="22"/>
        </w:rPr>
        <w:t>rekreační i mezisídelní prostupnost krajiny pro obyvatele i návštěvníky území volnou průchodností cestní sítě v krajině</w:t>
      </w:r>
      <w:r>
        <w:rPr>
          <w:spacing w:val="-14"/>
          <w:sz w:val="22"/>
        </w:rPr>
        <w:t> </w:t>
      </w:r>
      <w:r>
        <w:rPr>
          <w:sz w:val="22"/>
        </w:rPr>
        <w:t>tvořené:</w:t>
      </w:r>
    </w:p>
    <w:p>
      <w:pPr>
        <w:pStyle w:val="ListParagraph"/>
        <w:numPr>
          <w:ilvl w:val="0"/>
          <w:numId w:val="2"/>
        </w:numPr>
        <w:tabs>
          <w:tab w:pos="1024" w:val="left" w:leader="none"/>
          <w:tab w:pos="1025" w:val="left" w:leader="none"/>
        </w:tabs>
        <w:spacing w:line="242" w:lineRule="auto" w:before="58" w:after="0"/>
        <w:ind w:left="1024" w:right="146" w:hanging="853"/>
        <w:jc w:val="both"/>
        <w:rPr>
          <w:sz w:val="22"/>
        </w:rPr>
      </w:pPr>
      <w:r>
        <w:rPr>
          <w:sz w:val="22"/>
        </w:rPr>
        <w:t>v ÚP vymezenými plochami </w:t>
      </w:r>
      <w:r>
        <w:rPr>
          <w:b/>
          <w:sz w:val="22"/>
        </w:rPr>
        <w:t>veřejných prostranství </w:t>
      </w:r>
      <w:r>
        <w:rPr>
          <w:sz w:val="22"/>
        </w:rPr>
        <w:t>(P) vedenými pokud možno nezávisle na základní silniční kostře tvořené plochami dopravní infrastruktury silniční</w:t>
      </w:r>
      <w:r>
        <w:rPr>
          <w:spacing w:val="-35"/>
          <w:sz w:val="22"/>
        </w:rPr>
        <w:t> </w:t>
      </w:r>
      <w:r>
        <w:rPr>
          <w:sz w:val="22"/>
        </w:rPr>
        <w:t>(M),</w:t>
      </w:r>
    </w:p>
    <w:p>
      <w:pPr>
        <w:pStyle w:val="ListParagraph"/>
        <w:numPr>
          <w:ilvl w:val="0"/>
          <w:numId w:val="2"/>
        </w:numPr>
        <w:tabs>
          <w:tab w:pos="1024" w:val="left" w:leader="none"/>
          <w:tab w:pos="1025" w:val="left" w:leader="none"/>
        </w:tabs>
        <w:spacing w:line="240" w:lineRule="auto" w:before="57" w:after="0"/>
        <w:ind w:left="1024" w:right="145" w:hanging="853"/>
        <w:jc w:val="both"/>
        <w:rPr>
          <w:sz w:val="22"/>
        </w:rPr>
      </w:pPr>
      <w:r>
        <w:rPr>
          <w:sz w:val="22"/>
        </w:rPr>
        <w:t>dalšími v ÚP nevymezenými, ale v rámci podmínek pro využití ploch přípustnými cestami zejména stávajícími (historickými) </w:t>
      </w:r>
      <w:r>
        <w:rPr>
          <w:b/>
          <w:sz w:val="22"/>
        </w:rPr>
        <w:t>zvykovými</w:t>
      </w:r>
      <w:r>
        <w:rPr>
          <w:b/>
          <w:spacing w:val="-1"/>
          <w:sz w:val="22"/>
        </w:rPr>
        <w:t> </w:t>
      </w:r>
      <w:r>
        <w:rPr>
          <w:b/>
          <w:sz w:val="22"/>
        </w:rPr>
        <w:t>trasami</w:t>
      </w:r>
      <w:r>
        <w:rPr>
          <w:sz w:val="22"/>
        </w:rPr>
        <w:t>.</w:t>
      </w:r>
    </w:p>
    <w:p>
      <w:pPr>
        <w:pStyle w:val="ListParagraph"/>
        <w:numPr>
          <w:ilvl w:val="0"/>
          <w:numId w:val="1"/>
        </w:numPr>
        <w:tabs>
          <w:tab w:pos="1024" w:val="left" w:leader="none"/>
          <w:tab w:pos="1025" w:val="left" w:leader="none"/>
        </w:tabs>
        <w:spacing w:line="240" w:lineRule="auto" w:before="119" w:after="0"/>
        <w:ind w:left="1024" w:right="142" w:hanging="852"/>
        <w:jc w:val="both"/>
        <w:rPr>
          <w:sz w:val="22"/>
        </w:rPr>
      </w:pPr>
      <w:r>
        <w:rPr>
          <w:sz w:val="22"/>
        </w:rPr>
        <w:t>Pro technologickou přístupnost praktické činnosti zemědělského a lesnického hospodaření využívat soustavu </w:t>
      </w:r>
      <w:r>
        <w:rPr>
          <w:b/>
          <w:sz w:val="22"/>
        </w:rPr>
        <w:t>účelových komunikací</w:t>
      </w:r>
      <w:r>
        <w:rPr>
          <w:sz w:val="22"/>
        </w:rPr>
        <w:t>, které jsou nedílnou součástí příslušných</w:t>
      </w:r>
      <w:r>
        <w:rPr>
          <w:spacing w:val="-1"/>
          <w:sz w:val="22"/>
        </w:rPr>
        <w:t> </w:t>
      </w:r>
      <w:r>
        <w:rPr>
          <w:sz w:val="22"/>
        </w:rPr>
        <w:t>ploch.</w:t>
      </w:r>
    </w:p>
    <w:p>
      <w:pPr>
        <w:pStyle w:val="ListParagraph"/>
        <w:numPr>
          <w:ilvl w:val="0"/>
          <w:numId w:val="1"/>
        </w:numPr>
        <w:tabs>
          <w:tab w:pos="1024" w:val="left" w:leader="none"/>
          <w:tab w:pos="1025" w:val="left" w:leader="none"/>
        </w:tabs>
        <w:spacing w:line="244" w:lineRule="auto" w:before="117" w:after="0"/>
        <w:ind w:left="1024" w:right="146" w:hanging="853"/>
        <w:jc w:val="both"/>
        <w:rPr>
          <w:sz w:val="22"/>
        </w:rPr>
      </w:pPr>
      <w:r>
        <w:rPr>
          <w:sz w:val="22"/>
        </w:rPr>
        <w:t>Nepovolovat stavby či záměry, které by vedly k narušení či </w:t>
      </w:r>
      <w:r>
        <w:rPr>
          <w:b/>
          <w:sz w:val="22"/>
        </w:rPr>
        <w:t>zneprůchodnění </w:t>
      </w:r>
      <w:r>
        <w:rPr>
          <w:sz w:val="22"/>
        </w:rPr>
        <w:t>soustavy veřejných cest, v krajním případě rušené cesty</w:t>
      </w:r>
      <w:r>
        <w:rPr>
          <w:spacing w:val="-6"/>
          <w:sz w:val="22"/>
        </w:rPr>
        <w:t> </w:t>
      </w:r>
      <w:r>
        <w:rPr>
          <w:sz w:val="22"/>
        </w:rPr>
        <w:t>překládat.</w:t>
      </w:r>
    </w:p>
    <w:p>
      <w:pPr>
        <w:pStyle w:val="ListParagraph"/>
        <w:numPr>
          <w:ilvl w:val="0"/>
          <w:numId w:val="1"/>
        </w:numPr>
        <w:tabs>
          <w:tab w:pos="1024" w:val="left" w:leader="none"/>
          <w:tab w:pos="1025" w:val="left" w:leader="none"/>
        </w:tabs>
        <w:spacing w:line="240" w:lineRule="auto" w:before="111" w:after="0"/>
        <w:ind w:left="1024" w:right="0" w:hanging="853"/>
        <w:jc w:val="both"/>
        <w:rPr>
          <w:b/>
          <w:sz w:val="22"/>
        </w:rPr>
      </w:pPr>
      <w:r>
        <w:rPr>
          <w:sz w:val="22"/>
        </w:rPr>
        <w:t>V krajním případě technologické potřeby oplocování ucelených území vedoucí k</w:t>
      </w:r>
      <w:r>
        <w:rPr>
          <w:spacing w:val="-4"/>
          <w:sz w:val="22"/>
        </w:rPr>
        <w:t> </w:t>
      </w:r>
      <w:r>
        <w:rPr>
          <w:b/>
          <w:sz w:val="22"/>
        </w:rPr>
        <w:t>narušení</w:t>
      </w:r>
    </w:p>
    <w:p>
      <w:pPr>
        <w:pStyle w:val="BodyText"/>
        <w:spacing w:before="1"/>
        <w:ind w:firstLine="0"/>
      </w:pPr>
      <w:r>
        <w:rPr/>
        <w:t>cestní sítě řešit prostupnost:</w:t>
      </w:r>
    </w:p>
    <w:p>
      <w:pPr>
        <w:pStyle w:val="ListParagraph"/>
        <w:numPr>
          <w:ilvl w:val="0"/>
          <w:numId w:val="2"/>
        </w:numPr>
        <w:tabs>
          <w:tab w:pos="1024" w:val="left" w:leader="none"/>
          <w:tab w:pos="1025" w:val="left" w:leader="none"/>
        </w:tabs>
        <w:spacing w:line="240" w:lineRule="auto" w:before="62" w:after="0"/>
        <w:ind w:left="1024" w:right="0" w:hanging="853"/>
        <w:jc w:val="both"/>
        <w:rPr>
          <w:sz w:val="22"/>
        </w:rPr>
      </w:pPr>
      <w:r>
        <w:rPr>
          <w:sz w:val="22"/>
        </w:rPr>
        <w:t>vyčleněním cest z</w:t>
      </w:r>
      <w:r>
        <w:rPr>
          <w:spacing w:val="1"/>
          <w:sz w:val="22"/>
        </w:rPr>
        <w:t> </w:t>
      </w:r>
      <w:r>
        <w:rPr>
          <w:sz w:val="22"/>
        </w:rPr>
        <w:t>oplocení,</w:t>
      </w:r>
    </w:p>
    <w:p>
      <w:pPr>
        <w:pStyle w:val="ListParagraph"/>
        <w:numPr>
          <w:ilvl w:val="0"/>
          <w:numId w:val="2"/>
        </w:numPr>
        <w:tabs>
          <w:tab w:pos="1024" w:val="left" w:leader="none"/>
          <w:tab w:pos="1025" w:val="left" w:leader="none"/>
        </w:tabs>
        <w:spacing w:line="240" w:lineRule="auto" w:before="58" w:after="0"/>
        <w:ind w:left="1024" w:right="0" w:hanging="853"/>
        <w:jc w:val="both"/>
        <w:rPr>
          <w:sz w:val="22"/>
        </w:rPr>
      </w:pPr>
      <w:r>
        <w:rPr>
          <w:sz w:val="22"/>
        </w:rPr>
        <w:t>dočasnými operativními opatřeními např. v případě oplocování pastevních areálů</w:t>
      </w:r>
      <w:r>
        <w:rPr>
          <w:spacing w:val="-25"/>
          <w:sz w:val="22"/>
        </w:rPr>
        <w:t> </w:t>
      </w:r>
      <w:r>
        <w:rPr>
          <w:sz w:val="22"/>
        </w:rPr>
        <w:t>apod.,</w:t>
      </w:r>
    </w:p>
    <w:p>
      <w:pPr>
        <w:pStyle w:val="ListParagraph"/>
        <w:numPr>
          <w:ilvl w:val="0"/>
          <w:numId w:val="2"/>
        </w:numPr>
        <w:tabs>
          <w:tab w:pos="1024" w:val="left" w:leader="none"/>
          <w:tab w:pos="1025" w:val="left" w:leader="none"/>
        </w:tabs>
        <w:spacing w:line="240" w:lineRule="auto" w:before="60" w:after="0"/>
        <w:ind w:left="1024" w:right="144" w:hanging="853"/>
        <w:jc w:val="both"/>
        <w:rPr>
          <w:sz w:val="22"/>
        </w:rPr>
      </w:pPr>
      <w:r>
        <w:rPr>
          <w:sz w:val="22"/>
        </w:rPr>
        <w:t>technickými prvky např. v případě oplocenek při obnově lesů nebo fragmentace krajiny liniemi silničních</w:t>
      </w:r>
      <w:r>
        <w:rPr>
          <w:spacing w:val="-1"/>
          <w:sz w:val="22"/>
        </w:rPr>
        <w:t> </w:t>
      </w:r>
      <w:r>
        <w:rPr>
          <w:sz w:val="22"/>
        </w:rPr>
        <w:t>komunikací.</w:t>
      </w:r>
    </w:p>
    <w:p>
      <w:pPr>
        <w:pStyle w:val="BodyText"/>
        <w:spacing w:before="8"/>
        <w:ind w:left="0" w:firstLine="0"/>
        <w:jc w:val="left"/>
        <w:rPr>
          <w:sz w:val="18"/>
        </w:rPr>
      </w:pPr>
      <w:r>
        <w:rPr/>
        <w:pict>
          <v:shape style="position:absolute;margin-left:55.199997pt;margin-top:11.987621pt;width:484.7pt;height:15pt;mso-position-horizontal-relative:page;mso-position-vertical-relative:paragraph;z-index:-15714816;mso-wrap-distance-left:0;mso-wrap-distance-right:0" type="#_x0000_t202" filled="true" fillcolor="#ccffff" stroked="false">
            <v:textbox inset="0,0,0,0">
              <w:txbxContent>
                <w:p>
                  <w:pPr>
                    <w:tabs>
                      <w:tab w:pos="880" w:val="left" w:leader="none"/>
                    </w:tabs>
                    <w:spacing w:line="295" w:lineRule="exact" w:before="0"/>
                    <w:ind w:left="28" w:right="0" w:firstLine="0"/>
                    <w:jc w:val="left"/>
                    <w:rPr>
                      <w:b/>
                      <w:sz w:val="26"/>
                    </w:rPr>
                  </w:pPr>
                  <w:r>
                    <w:rPr>
                      <w:b/>
                      <w:sz w:val="26"/>
                    </w:rPr>
                    <w:t>E.7</w:t>
                    <w:tab/>
                    <w:t>DOBÝVÁNÍ</w:t>
                  </w:r>
                  <w:r>
                    <w:rPr>
                      <w:b/>
                      <w:spacing w:val="-2"/>
                      <w:sz w:val="26"/>
                    </w:rPr>
                    <w:t> </w:t>
                  </w:r>
                  <w:r>
                    <w:rPr>
                      <w:b/>
                      <w:sz w:val="26"/>
                    </w:rPr>
                    <w:t>NEROSTŮ</w:t>
                  </w:r>
                </w:p>
              </w:txbxContent>
            </v:textbox>
            <v:fill type="solid"/>
            <w10:wrap type="topAndBottom"/>
          </v:shape>
        </w:pict>
      </w:r>
    </w:p>
    <w:p>
      <w:pPr>
        <w:pStyle w:val="ListParagraph"/>
        <w:numPr>
          <w:ilvl w:val="0"/>
          <w:numId w:val="1"/>
        </w:numPr>
        <w:tabs>
          <w:tab w:pos="1024" w:val="left" w:leader="none"/>
          <w:tab w:pos="1025" w:val="left" w:leader="none"/>
        </w:tabs>
        <w:spacing w:line="240" w:lineRule="auto" w:before="100" w:after="0"/>
        <w:ind w:left="1024" w:right="0" w:hanging="853"/>
        <w:jc w:val="left"/>
        <w:rPr>
          <w:sz w:val="22"/>
        </w:rPr>
      </w:pPr>
      <w:r>
        <w:rPr>
          <w:sz w:val="22"/>
        </w:rPr>
        <w:t>V řešeném území respektovat </w:t>
      </w:r>
      <w:r>
        <w:rPr>
          <w:b/>
          <w:sz w:val="22"/>
        </w:rPr>
        <w:t>nevýhradní ložiska </w:t>
      </w:r>
      <w:r>
        <w:rPr>
          <w:sz w:val="22"/>
        </w:rPr>
        <w:t>nerostných surovin uvedená v</w:t>
      </w:r>
      <w:r>
        <w:rPr>
          <w:spacing w:val="-29"/>
          <w:sz w:val="22"/>
        </w:rPr>
        <w:t> </w:t>
      </w:r>
      <w:r>
        <w:rPr>
          <w:sz w:val="22"/>
        </w:rPr>
        <w:t>tabulce:</w:t>
      </w:r>
    </w:p>
    <w:p>
      <w:pPr>
        <w:tabs>
          <w:tab w:pos="1022" w:val="left" w:leader="none"/>
        </w:tabs>
        <w:spacing w:before="116" w:after="7"/>
        <w:ind w:left="172" w:right="0" w:firstLine="0"/>
        <w:jc w:val="left"/>
        <w:rPr>
          <w:b/>
          <w:sz w:val="18"/>
        </w:rPr>
      </w:pPr>
      <w:r>
        <w:rPr>
          <w:b/>
          <w:sz w:val="18"/>
        </w:rPr>
        <w:t>Tab.:</w:t>
        <w:tab/>
        <w:t>Nevýhradní ložiska evidovaná</w:t>
      </w:r>
    </w:p>
    <w:tbl>
      <w:tblPr>
        <w:tblW w:w="0" w:type="auto"/>
        <w:jc w:val="left"/>
        <w:tblInd w:w="1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313"/>
        <w:gridCol w:w="1620"/>
        <w:gridCol w:w="1687"/>
        <w:gridCol w:w="1781"/>
        <w:gridCol w:w="2023"/>
        <w:gridCol w:w="1219"/>
      </w:tblGrid>
      <w:tr>
        <w:trPr>
          <w:trHeight w:val="467" w:hRule="atLeast"/>
        </w:trPr>
        <w:tc>
          <w:tcPr>
            <w:tcW w:w="1313" w:type="dxa"/>
            <w:shd w:val="clear" w:color="auto" w:fill="CCFFFF"/>
          </w:tcPr>
          <w:p>
            <w:pPr>
              <w:pStyle w:val="TableParagraph"/>
              <w:spacing w:line="210" w:lineRule="atLeast" w:before="45"/>
              <w:ind w:left="167" w:right="520"/>
              <w:rPr>
                <w:b/>
                <w:sz w:val="18"/>
              </w:rPr>
            </w:pPr>
            <w:r>
              <w:rPr>
                <w:b/>
                <w:sz w:val="18"/>
              </w:rPr>
              <w:t>číslo ložiska</w:t>
            </w:r>
          </w:p>
        </w:tc>
        <w:tc>
          <w:tcPr>
            <w:tcW w:w="1620" w:type="dxa"/>
            <w:shd w:val="clear" w:color="auto" w:fill="CCFFFF"/>
          </w:tcPr>
          <w:p>
            <w:pPr>
              <w:pStyle w:val="TableParagraph"/>
              <w:spacing w:before="48"/>
              <w:ind w:left="165"/>
              <w:rPr>
                <w:b/>
                <w:sz w:val="18"/>
              </w:rPr>
            </w:pPr>
            <w:r>
              <w:rPr>
                <w:b/>
                <w:sz w:val="18"/>
              </w:rPr>
              <w:t>název</w:t>
            </w:r>
          </w:p>
        </w:tc>
        <w:tc>
          <w:tcPr>
            <w:tcW w:w="1687" w:type="dxa"/>
            <w:shd w:val="clear" w:color="auto" w:fill="CCFFFF"/>
          </w:tcPr>
          <w:p>
            <w:pPr>
              <w:pStyle w:val="TableParagraph"/>
              <w:spacing w:before="48"/>
              <w:ind w:left="165"/>
              <w:rPr>
                <w:b/>
                <w:sz w:val="18"/>
              </w:rPr>
            </w:pPr>
            <w:r>
              <w:rPr>
                <w:b/>
                <w:sz w:val="18"/>
              </w:rPr>
              <w:t>stav</w:t>
            </w:r>
          </w:p>
        </w:tc>
        <w:tc>
          <w:tcPr>
            <w:tcW w:w="1781" w:type="dxa"/>
            <w:shd w:val="clear" w:color="auto" w:fill="CCFFFF"/>
          </w:tcPr>
          <w:p>
            <w:pPr>
              <w:pStyle w:val="TableParagraph"/>
              <w:spacing w:before="48"/>
              <w:ind w:left="167"/>
              <w:rPr>
                <w:b/>
                <w:sz w:val="18"/>
              </w:rPr>
            </w:pPr>
            <w:r>
              <w:rPr>
                <w:b/>
                <w:sz w:val="18"/>
              </w:rPr>
              <w:t>nerost</w:t>
            </w:r>
          </w:p>
        </w:tc>
        <w:tc>
          <w:tcPr>
            <w:tcW w:w="2023" w:type="dxa"/>
            <w:shd w:val="clear" w:color="auto" w:fill="CCFFFF"/>
          </w:tcPr>
          <w:p>
            <w:pPr>
              <w:pStyle w:val="TableParagraph"/>
              <w:spacing w:before="48"/>
              <w:ind w:left="167"/>
              <w:rPr>
                <w:b/>
                <w:sz w:val="18"/>
              </w:rPr>
            </w:pPr>
            <w:r>
              <w:rPr>
                <w:b/>
                <w:sz w:val="18"/>
              </w:rPr>
              <w:t>surovina</w:t>
            </w:r>
          </w:p>
        </w:tc>
        <w:tc>
          <w:tcPr>
            <w:tcW w:w="1219" w:type="dxa"/>
            <w:shd w:val="clear" w:color="auto" w:fill="CCFFFF"/>
          </w:tcPr>
          <w:p>
            <w:pPr>
              <w:pStyle w:val="TableParagraph"/>
              <w:spacing w:before="48"/>
              <w:ind w:left="147" w:right="186"/>
              <w:jc w:val="center"/>
              <w:rPr>
                <w:b/>
                <w:sz w:val="18"/>
              </w:rPr>
            </w:pPr>
            <w:r>
              <w:rPr>
                <w:b/>
                <w:sz w:val="18"/>
              </w:rPr>
              <w:t>plocha ha</w:t>
            </w:r>
          </w:p>
        </w:tc>
      </w:tr>
      <w:tr>
        <w:trPr>
          <w:trHeight w:val="318" w:hRule="atLeast"/>
        </w:trPr>
        <w:tc>
          <w:tcPr>
            <w:tcW w:w="1313" w:type="dxa"/>
          </w:tcPr>
          <w:p>
            <w:pPr>
              <w:pStyle w:val="TableParagraph"/>
              <w:spacing w:line="188" w:lineRule="exact" w:before="110"/>
              <w:ind w:left="139"/>
              <w:rPr>
                <w:sz w:val="18"/>
              </w:rPr>
            </w:pPr>
            <w:r>
              <w:rPr>
                <w:sz w:val="18"/>
              </w:rPr>
              <w:t>D 3244500</w:t>
            </w:r>
          </w:p>
        </w:tc>
        <w:tc>
          <w:tcPr>
            <w:tcW w:w="1620" w:type="dxa"/>
          </w:tcPr>
          <w:p>
            <w:pPr>
              <w:pStyle w:val="TableParagraph"/>
              <w:spacing w:line="188" w:lineRule="exact" w:before="110"/>
              <w:ind w:left="136"/>
              <w:rPr>
                <w:sz w:val="18"/>
              </w:rPr>
            </w:pPr>
            <w:r>
              <w:rPr>
                <w:sz w:val="18"/>
              </w:rPr>
              <w:t>Dolní Vítkov</w:t>
            </w:r>
          </w:p>
        </w:tc>
        <w:tc>
          <w:tcPr>
            <w:tcW w:w="1687" w:type="dxa"/>
          </w:tcPr>
          <w:p>
            <w:pPr>
              <w:pStyle w:val="TableParagraph"/>
              <w:spacing w:line="188" w:lineRule="exact" w:before="110"/>
              <w:ind w:left="136"/>
              <w:rPr>
                <w:sz w:val="18"/>
              </w:rPr>
            </w:pPr>
            <w:r>
              <w:rPr>
                <w:sz w:val="18"/>
              </w:rPr>
              <w:t>dosud netěženo</w:t>
            </w:r>
          </w:p>
        </w:tc>
        <w:tc>
          <w:tcPr>
            <w:tcW w:w="1781" w:type="dxa"/>
          </w:tcPr>
          <w:p>
            <w:pPr>
              <w:pStyle w:val="TableParagraph"/>
              <w:spacing w:line="188" w:lineRule="exact" w:before="110"/>
              <w:ind w:left="139"/>
              <w:rPr>
                <w:sz w:val="18"/>
              </w:rPr>
            </w:pPr>
            <w:r>
              <w:rPr>
                <w:sz w:val="18"/>
              </w:rPr>
              <w:t>krystalické břidlice</w:t>
            </w:r>
          </w:p>
        </w:tc>
        <w:tc>
          <w:tcPr>
            <w:tcW w:w="2023" w:type="dxa"/>
          </w:tcPr>
          <w:p>
            <w:pPr>
              <w:pStyle w:val="TableParagraph"/>
              <w:spacing w:line="188" w:lineRule="exact" w:before="110"/>
              <w:ind w:left="138"/>
              <w:rPr>
                <w:sz w:val="18"/>
              </w:rPr>
            </w:pPr>
            <w:r>
              <w:rPr>
                <w:sz w:val="18"/>
              </w:rPr>
              <w:t>stavební kámen</w:t>
            </w:r>
          </w:p>
        </w:tc>
        <w:tc>
          <w:tcPr>
            <w:tcW w:w="1219" w:type="dxa"/>
          </w:tcPr>
          <w:p>
            <w:pPr>
              <w:pStyle w:val="TableParagraph"/>
              <w:spacing w:line="188" w:lineRule="exact" w:before="110"/>
              <w:ind w:left="147" w:right="141"/>
              <w:jc w:val="center"/>
              <w:rPr>
                <w:sz w:val="18"/>
              </w:rPr>
            </w:pPr>
            <w:r>
              <w:rPr>
                <w:sz w:val="18"/>
              </w:rPr>
              <w:t>28,29</w:t>
            </w:r>
          </w:p>
        </w:tc>
      </w:tr>
      <w:tr>
        <w:trPr>
          <w:trHeight w:val="522" w:hRule="atLeast"/>
        </w:trPr>
        <w:tc>
          <w:tcPr>
            <w:tcW w:w="1313" w:type="dxa"/>
          </w:tcPr>
          <w:p>
            <w:pPr>
              <w:pStyle w:val="TableParagraph"/>
              <w:spacing w:before="108"/>
              <w:ind w:left="139"/>
              <w:rPr>
                <w:sz w:val="18"/>
              </w:rPr>
            </w:pPr>
            <w:r>
              <w:rPr>
                <w:sz w:val="18"/>
              </w:rPr>
              <w:t>D 5264100</w:t>
            </w:r>
          </w:p>
        </w:tc>
        <w:tc>
          <w:tcPr>
            <w:tcW w:w="1620" w:type="dxa"/>
          </w:tcPr>
          <w:p>
            <w:pPr>
              <w:pStyle w:val="TableParagraph"/>
              <w:spacing w:before="108"/>
              <w:ind w:left="136"/>
              <w:rPr>
                <w:sz w:val="18"/>
              </w:rPr>
            </w:pPr>
            <w:r>
              <w:rPr>
                <w:sz w:val="18"/>
              </w:rPr>
              <w:t>Horní Chrastava</w:t>
            </w:r>
          </w:p>
        </w:tc>
        <w:tc>
          <w:tcPr>
            <w:tcW w:w="1687" w:type="dxa"/>
          </w:tcPr>
          <w:p>
            <w:pPr>
              <w:pStyle w:val="TableParagraph"/>
              <w:spacing w:before="108"/>
              <w:ind w:left="136"/>
              <w:rPr>
                <w:sz w:val="18"/>
              </w:rPr>
            </w:pPr>
            <w:r>
              <w:rPr>
                <w:sz w:val="18"/>
              </w:rPr>
              <w:t>dosud netěženo</w:t>
            </w:r>
          </w:p>
        </w:tc>
        <w:tc>
          <w:tcPr>
            <w:tcW w:w="1781" w:type="dxa"/>
          </w:tcPr>
          <w:p>
            <w:pPr>
              <w:pStyle w:val="TableParagraph"/>
              <w:spacing w:before="108"/>
              <w:ind w:left="139"/>
              <w:rPr>
                <w:sz w:val="18"/>
              </w:rPr>
            </w:pPr>
            <w:r>
              <w:rPr>
                <w:sz w:val="18"/>
              </w:rPr>
              <w:t>žula</w:t>
            </w:r>
          </w:p>
        </w:tc>
        <w:tc>
          <w:tcPr>
            <w:tcW w:w="2023" w:type="dxa"/>
          </w:tcPr>
          <w:p>
            <w:pPr>
              <w:pStyle w:val="TableParagraph"/>
              <w:spacing w:line="210" w:lineRule="atLeast" w:before="105"/>
              <w:ind w:left="138" w:right="429"/>
              <w:rPr>
                <w:sz w:val="18"/>
              </w:rPr>
            </w:pPr>
            <w:r>
              <w:rPr>
                <w:sz w:val="18"/>
              </w:rPr>
              <w:t>technické zeminy, štěrkopísky</w:t>
            </w:r>
          </w:p>
        </w:tc>
        <w:tc>
          <w:tcPr>
            <w:tcW w:w="1219" w:type="dxa"/>
          </w:tcPr>
          <w:p>
            <w:pPr>
              <w:pStyle w:val="TableParagraph"/>
              <w:spacing w:before="108"/>
              <w:ind w:left="147" w:right="141"/>
              <w:jc w:val="center"/>
              <w:rPr>
                <w:sz w:val="18"/>
              </w:rPr>
            </w:pPr>
            <w:r>
              <w:rPr>
                <w:sz w:val="18"/>
              </w:rPr>
              <w:t>0,58</w:t>
            </w:r>
          </w:p>
        </w:tc>
      </w:tr>
      <w:tr>
        <w:trPr>
          <w:trHeight w:val="314" w:hRule="atLeast"/>
        </w:trPr>
        <w:tc>
          <w:tcPr>
            <w:tcW w:w="1313" w:type="dxa"/>
          </w:tcPr>
          <w:p>
            <w:pPr>
              <w:pStyle w:val="TableParagraph"/>
              <w:spacing w:line="186" w:lineRule="exact" w:before="108"/>
              <w:ind w:left="139"/>
              <w:rPr>
                <w:sz w:val="18"/>
              </w:rPr>
            </w:pPr>
            <w:r>
              <w:rPr>
                <w:sz w:val="18"/>
              </w:rPr>
              <w:t>D 3244400</w:t>
            </w:r>
          </w:p>
        </w:tc>
        <w:tc>
          <w:tcPr>
            <w:tcW w:w="1620" w:type="dxa"/>
          </w:tcPr>
          <w:p>
            <w:pPr>
              <w:pStyle w:val="TableParagraph"/>
              <w:spacing w:line="186" w:lineRule="exact" w:before="108"/>
              <w:ind w:left="136"/>
              <w:rPr>
                <w:sz w:val="18"/>
              </w:rPr>
            </w:pPr>
            <w:r>
              <w:rPr>
                <w:sz w:val="18"/>
              </w:rPr>
              <w:t>Mlýnice</w:t>
            </w:r>
          </w:p>
        </w:tc>
        <w:tc>
          <w:tcPr>
            <w:tcW w:w="1687" w:type="dxa"/>
          </w:tcPr>
          <w:p>
            <w:pPr>
              <w:pStyle w:val="TableParagraph"/>
              <w:spacing w:line="186" w:lineRule="exact" w:before="108"/>
              <w:ind w:left="136"/>
              <w:rPr>
                <w:sz w:val="18"/>
              </w:rPr>
            </w:pPr>
            <w:r>
              <w:rPr>
                <w:sz w:val="18"/>
              </w:rPr>
              <w:t>dosud netěženo</w:t>
            </w:r>
          </w:p>
        </w:tc>
        <w:tc>
          <w:tcPr>
            <w:tcW w:w="1781" w:type="dxa"/>
          </w:tcPr>
          <w:p>
            <w:pPr>
              <w:pStyle w:val="TableParagraph"/>
              <w:spacing w:line="186" w:lineRule="exact" w:before="108"/>
              <w:ind w:left="139"/>
              <w:rPr>
                <w:sz w:val="18"/>
              </w:rPr>
            </w:pPr>
            <w:r>
              <w:rPr>
                <w:sz w:val="18"/>
              </w:rPr>
              <w:t>ortorula</w:t>
            </w:r>
          </w:p>
        </w:tc>
        <w:tc>
          <w:tcPr>
            <w:tcW w:w="2023" w:type="dxa"/>
          </w:tcPr>
          <w:p>
            <w:pPr>
              <w:pStyle w:val="TableParagraph"/>
              <w:spacing w:line="186" w:lineRule="exact" w:before="108"/>
              <w:ind w:left="138"/>
              <w:rPr>
                <w:sz w:val="18"/>
              </w:rPr>
            </w:pPr>
            <w:r>
              <w:rPr>
                <w:sz w:val="18"/>
              </w:rPr>
              <w:t>stavební kámen</w:t>
            </w:r>
          </w:p>
        </w:tc>
        <w:tc>
          <w:tcPr>
            <w:tcW w:w="1219" w:type="dxa"/>
          </w:tcPr>
          <w:p>
            <w:pPr>
              <w:pStyle w:val="TableParagraph"/>
              <w:spacing w:line="186" w:lineRule="exact" w:before="108"/>
              <w:ind w:left="147" w:right="141"/>
              <w:jc w:val="center"/>
              <w:rPr>
                <w:sz w:val="18"/>
              </w:rPr>
            </w:pPr>
            <w:r>
              <w:rPr>
                <w:sz w:val="18"/>
              </w:rPr>
              <w:t>39,69</w:t>
            </w:r>
            <w:r>
              <w:rPr>
                <w:sz w:val="18"/>
                <w:vertAlign w:val="superscript"/>
              </w:rPr>
              <w:t>1)</w:t>
            </w:r>
          </w:p>
        </w:tc>
      </w:tr>
    </w:tbl>
    <w:p>
      <w:pPr>
        <w:spacing w:before="116"/>
        <w:ind w:left="1022" w:right="0" w:firstLine="0"/>
        <w:jc w:val="left"/>
        <w:rPr>
          <w:sz w:val="18"/>
        </w:rPr>
      </w:pPr>
      <w:r>
        <w:rPr>
          <w:sz w:val="18"/>
        </w:rPr>
        <w:t>Pozn.: </w:t>
      </w:r>
      <w:r>
        <w:rPr>
          <w:sz w:val="18"/>
          <w:vertAlign w:val="superscript"/>
        </w:rPr>
        <w:t>1)</w:t>
      </w:r>
      <w:r>
        <w:rPr>
          <w:sz w:val="18"/>
          <w:vertAlign w:val="baseline"/>
        </w:rPr>
        <w:t> na území Chrastavy jen velmi malá část</w:t>
      </w:r>
    </w:p>
    <w:p>
      <w:pPr>
        <w:pStyle w:val="ListParagraph"/>
        <w:numPr>
          <w:ilvl w:val="0"/>
          <w:numId w:val="1"/>
        </w:numPr>
        <w:tabs>
          <w:tab w:pos="1024" w:val="left" w:leader="none"/>
          <w:tab w:pos="1025" w:val="left" w:leader="none"/>
        </w:tabs>
        <w:spacing w:line="240" w:lineRule="auto" w:before="118" w:after="0"/>
        <w:ind w:left="1024" w:right="148" w:hanging="853"/>
        <w:jc w:val="left"/>
        <w:rPr>
          <w:sz w:val="22"/>
        </w:rPr>
      </w:pPr>
      <w:r>
        <w:rPr>
          <w:sz w:val="22"/>
        </w:rPr>
        <w:t>S ohledem na situování </w:t>
      </w:r>
      <w:r>
        <w:rPr>
          <w:b/>
          <w:sz w:val="22"/>
        </w:rPr>
        <w:t>prognózních ložisek </w:t>
      </w:r>
      <w:r>
        <w:rPr>
          <w:sz w:val="22"/>
        </w:rPr>
        <w:t>nerostných surovin na území Přírodního parku Ještěd nepodporovat případné snahy o zahájení</w:t>
      </w:r>
      <w:r>
        <w:rPr>
          <w:spacing w:val="-9"/>
          <w:sz w:val="22"/>
        </w:rPr>
        <w:t> </w:t>
      </w:r>
      <w:r>
        <w:rPr>
          <w:sz w:val="22"/>
        </w:rPr>
        <w:t>těžby.</w:t>
      </w:r>
    </w:p>
    <w:p>
      <w:pPr>
        <w:pStyle w:val="ListParagraph"/>
        <w:numPr>
          <w:ilvl w:val="0"/>
          <w:numId w:val="1"/>
        </w:numPr>
        <w:tabs>
          <w:tab w:pos="1024" w:val="left" w:leader="none"/>
          <w:tab w:pos="1025" w:val="left" w:leader="none"/>
        </w:tabs>
        <w:spacing w:line="240" w:lineRule="auto" w:before="121" w:after="0"/>
        <w:ind w:left="1024" w:right="0" w:hanging="853"/>
        <w:jc w:val="left"/>
        <w:rPr>
          <w:sz w:val="22"/>
        </w:rPr>
      </w:pPr>
      <w:r>
        <w:rPr>
          <w:sz w:val="22"/>
        </w:rPr>
        <w:t>Ložiska </w:t>
      </w:r>
      <w:r>
        <w:rPr>
          <w:b/>
          <w:sz w:val="22"/>
        </w:rPr>
        <w:t>nevyhrazených nerostů </w:t>
      </w:r>
      <w:r>
        <w:rPr>
          <w:sz w:val="22"/>
        </w:rPr>
        <w:t>respektovat jako součást</w:t>
      </w:r>
      <w:r>
        <w:rPr>
          <w:spacing w:val="-3"/>
          <w:sz w:val="22"/>
        </w:rPr>
        <w:t> </w:t>
      </w:r>
      <w:r>
        <w:rPr>
          <w:sz w:val="22"/>
        </w:rPr>
        <w:t>pozemku.</w:t>
      </w:r>
    </w:p>
    <w:p>
      <w:pPr>
        <w:spacing w:after="0" w:line="240" w:lineRule="auto"/>
        <w:jc w:val="left"/>
        <w:rPr>
          <w:sz w:val="22"/>
        </w:rPr>
        <w:sectPr>
          <w:pgSz w:w="11900" w:h="16840"/>
          <w:pgMar w:header="557" w:footer="582" w:top="760" w:bottom="780" w:left="960" w:right="980"/>
        </w:sectPr>
      </w:pPr>
    </w:p>
    <w:p>
      <w:pPr>
        <w:pStyle w:val="BodyText"/>
        <w:spacing w:before="1"/>
        <w:ind w:left="0" w:firstLine="0"/>
        <w:jc w:val="left"/>
      </w:pPr>
    </w:p>
    <w:p>
      <w:pPr>
        <w:pStyle w:val="Heading3"/>
        <w:spacing w:before="101"/>
        <w:ind w:left="1022"/>
      </w:pPr>
      <w:r>
        <w:rPr/>
        <w:t>PODDOLOVANÁ ÚZEMÍ, SESUVY</w:t>
      </w:r>
    </w:p>
    <w:p>
      <w:pPr>
        <w:pStyle w:val="ListParagraph"/>
        <w:numPr>
          <w:ilvl w:val="0"/>
          <w:numId w:val="1"/>
        </w:numPr>
        <w:tabs>
          <w:tab w:pos="1024" w:val="left" w:leader="none"/>
          <w:tab w:pos="1025" w:val="left" w:leader="none"/>
        </w:tabs>
        <w:spacing w:line="240" w:lineRule="auto" w:before="121" w:after="0"/>
        <w:ind w:left="1024" w:right="0" w:hanging="853"/>
        <w:jc w:val="left"/>
        <w:rPr>
          <w:sz w:val="22"/>
        </w:rPr>
      </w:pPr>
      <w:r>
        <w:rPr>
          <w:sz w:val="22"/>
        </w:rPr>
        <w:t>V řešeném území respektovat registrovaná </w:t>
      </w:r>
      <w:r>
        <w:rPr>
          <w:b/>
          <w:sz w:val="22"/>
        </w:rPr>
        <w:t>poddolovaná území </w:t>
      </w:r>
      <w:r>
        <w:rPr>
          <w:sz w:val="22"/>
        </w:rPr>
        <w:t>uvedená v</w:t>
      </w:r>
      <w:r>
        <w:rPr>
          <w:spacing w:val="-17"/>
          <w:sz w:val="22"/>
        </w:rPr>
        <w:t> </w:t>
      </w:r>
      <w:r>
        <w:rPr>
          <w:sz w:val="22"/>
        </w:rPr>
        <w:t>tabulce:</w:t>
      </w:r>
    </w:p>
    <w:p>
      <w:pPr>
        <w:tabs>
          <w:tab w:pos="1022" w:val="left" w:leader="none"/>
        </w:tabs>
        <w:spacing w:before="116" w:after="8"/>
        <w:ind w:left="172" w:right="0" w:firstLine="0"/>
        <w:jc w:val="left"/>
        <w:rPr>
          <w:b/>
          <w:sz w:val="18"/>
        </w:rPr>
      </w:pPr>
      <w:r>
        <w:rPr>
          <w:b/>
          <w:sz w:val="18"/>
        </w:rPr>
        <w:t>Tab.:</w:t>
        <w:tab/>
        <w:t>Poddolovaná území</w:t>
      </w:r>
    </w:p>
    <w:tbl>
      <w:tblPr>
        <w:tblW w:w="0" w:type="auto"/>
        <w:jc w:val="left"/>
        <w:tblInd w:w="1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840"/>
        <w:gridCol w:w="1685"/>
        <w:gridCol w:w="919"/>
        <w:gridCol w:w="1063"/>
        <w:gridCol w:w="1140"/>
        <w:gridCol w:w="1519"/>
        <w:gridCol w:w="1037"/>
        <w:gridCol w:w="1435"/>
      </w:tblGrid>
      <w:tr>
        <w:trPr>
          <w:trHeight w:val="467" w:hRule="atLeast"/>
        </w:trPr>
        <w:tc>
          <w:tcPr>
            <w:tcW w:w="840" w:type="dxa"/>
            <w:shd w:val="clear" w:color="auto" w:fill="CCFFFF"/>
          </w:tcPr>
          <w:p>
            <w:pPr>
              <w:pStyle w:val="TableParagraph"/>
              <w:spacing w:before="48"/>
              <w:ind w:left="167"/>
              <w:rPr>
                <w:b/>
                <w:sz w:val="18"/>
              </w:rPr>
            </w:pPr>
            <w:r>
              <w:rPr>
                <w:b/>
                <w:sz w:val="18"/>
              </w:rPr>
              <w:t>ident.</w:t>
            </w:r>
          </w:p>
        </w:tc>
        <w:tc>
          <w:tcPr>
            <w:tcW w:w="1685" w:type="dxa"/>
            <w:shd w:val="clear" w:color="auto" w:fill="CCFFFF"/>
          </w:tcPr>
          <w:p>
            <w:pPr>
              <w:pStyle w:val="TableParagraph"/>
              <w:spacing w:before="48"/>
              <w:ind w:left="167"/>
              <w:rPr>
                <w:b/>
                <w:sz w:val="18"/>
              </w:rPr>
            </w:pPr>
            <w:r>
              <w:rPr>
                <w:b/>
                <w:sz w:val="18"/>
              </w:rPr>
              <w:t>název</w:t>
            </w:r>
          </w:p>
        </w:tc>
        <w:tc>
          <w:tcPr>
            <w:tcW w:w="919" w:type="dxa"/>
            <w:shd w:val="clear" w:color="auto" w:fill="CCFFFF"/>
          </w:tcPr>
          <w:p>
            <w:pPr>
              <w:pStyle w:val="TableParagraph"/>
              <w:spacing w:line="210" w:lineRule="atLeast" w:before="45"/>
              <w:ind w:left="167" w:right="277"/>
              <w:rPr>
                <w:b/>
                <w:sz w:val="18"/>
              </w:rPr>
            </w:pPr>
            <w:r>
              <w:rPr>
                <w:b/>
                <w:sz w:val="18"/>
              </w:rPr>
              <w:t>suro- vina</w:t>
            </w:r>
          </w:p>
        </w:tc>
        <w:tc>
          <w:tcPr>
            <w:tcW w:w="1063" w:type="dxa"/>
            <w:shd w:val="clear" w:color="auto" w:fill="CCFFFF"/>
          </w:tcPr>
          <w:p>
            <w:pPr>
              <w:pStyle w:val="TableParagraph"/>
              <w:spacing w:before="48"/>
              <w:ind w:left="167"/>
              <w:rPr>
                <w:b/>
                <w:sz w:val="18"/>
              </w:rPr>
            </w:pPr>
            <w:r>
              <w:rPr>
                <w:b/>
                <w:sz w:val="18"/>
              </w:rPr>
              <w:t>stáří</w:t>
            </w:r>
          </w:p>
        </w:tc>
        <w:tc>
          <w:tcPr>
            <w:tcW w:w="1140" w:type="dxa"/>
            <w:shd w:val="clear" w:color="auto" w:fill="CCFFFF"/>
          </w:tcPr>
          <w:p>
            <w:pPr>
              <w:pStyle w:val="TableParagraph"/>
              <w:spacing w:before="48"/>
              <w:ind w:left="168"/>
              <w:rPr>
                <w:b/>
                <w:sz w:val="18"/>
              </w:rPr>
            </w:pPr>
            <w:r>
              <w:rPr>
                <w:b/>
                <w:sz w:val="18"/>
              </w:rPr>
              <w:t>přesnost</w:t>
            </w:r>
          </w:p>
        </w:tc>
        <w:tc>
          <w:tcPr>
            <w:tcW w:w="1519" w:type="dxa"/>
            <w:shd w:val="clear" w:color="auto" w:fill="CCFFFF"/>
          </w:tcPr>
          <w:p>
            <w:pPr>
              <w:pStyle w:val="TableParagraph"/>
              <w:spacing w:before="48"/>
              <w:ind w:left="168"/>
              <w:rPr>
                <w:b/>
                <w:sz w:val="18"/>
              </w:rPr>
            </w:pPr>
            <w:r>
              <w:rPr>
                <w:b/>
                <w:sz w:val="18"/>
              </w:rPr>
              <w:t>dokumentace</w:t>
            </w:r>
          </w:p>
        </w:tc>
        <w:tc>
          <w:tcPr>
            <w:tcW w:w="1037" w:type="dxa"/>
            <w:shd w:val="clear" w:color="auto" w:fill="CCFFFF"/>
          </w:tcPr>
          <w:p>
            <w:pPr>
              <w:pStyle w:val="TableParagraph"/>
              <w:spacing w:line="187" w:lineRule="auto" w:before="85"/>
              <w:ind w:left="405" w:right="266" w:hanging="240"/>
              <w:rPr>
                <w:b/>
                <w:sz w:val="12"/>
              </w:rPr>
            </w:pPr>
            <w:r>
              <w:rPr>
                <w:b/>
                <w:sz w:val="18"/>
              </w:rPr>
              <w:t>plocha </w:t>
            </w:r>
            <w:r>
              <w:rPr>
                <w:b/>
                <w:position w:val="-8"/>
                <w:sz w:val="18"/>
              </w:rPr>
              <w:t>m</w:t>
            </w:r>
            <w:r>
              <w:rPr>
                <w:b/>
                <w:sz w:val="12"/>
              </w:rPr>
              <w:t>2</w:t>
            </w:r>
          </w:p>
        </w:tc>
        <w:tc>
          <w:tcPr>
            <w:tcW w:w="1435" w:type="dxa"/>
            <w:shd w:val="clear" w:color="auto" w:fill="CCFFFF"/>
          </w:tcPr>
          <w:p>
            <w:pPr>
              <w:pStyle w:val="TableParagraph"/>
              <w:spacing w:before="48"/>
              <w:ind w:left="168"/>
              <w:rPr>
                <w:b/>
                <w:sz w:val="18"/>
              </w:rPr>
            </w:pPr>
            <w:r>
              <w:rPr>
                <w:b/>
                <w:sz w:val="18"/>
              </w:rPr>
              <w:t>věrohodnost</w:t>
            </w:r>
          </w:p>
        </w:tc>
      </w:tr>
      <w:tr>
        <w:trPr>
          <w:trHeight w:val="467" w:hRule="atLeast"/>
        </w:trPr>
        <w:tc>
          <w:tcPr>
            <w:tcW w:w="840" w:type="dxa"/>
          </w:tcPr>
          <w:p>
            <w:pPr>
              <w:pStyle w:val="TableParagraph"/>
              <w:spacing w:before="53"/>
              <w:ind w:left="167"/>
              <w:rPr>
                <w:sz w:val="18"/>
              </w:rPr>
            </w:pPr>
            <w:r>
              <w:rPr>
                <w:sz w:val="18"/>
              </w:rPr>
              <w:t>2616</w:t>
            </w:r>
          </w:p>
        </w:tc>
        <w:tc>
          <w:tcPr>
            <w:tcW w:w="1685" w:type="dxa"/>
          </w:tcPr>
          <w:p>
            <w:pPr>
              <w:pStyle w:val="TableParagraph"/>
              <w:spacing w:line="210" w:lineRule="atLeast" w:before="50"/>
              <w:ind w:left="167" w:right="592"/>
              <w:rPr>
                <w:sz w:val="18"/>
              </w:rPr>
            </w:pPr>
            <w:r>
              <w:rPr>
                <w:sz w:val="18"/>
              </w:rPr>
              <w:t>Kristiánov - Vysoký</w:t>
            </w:r>
          </w:p>
        </w:tc>
        <w:tc>
          <w:tcPr>
            <w:tcW w:w="919" w:type="dxa"/>
          </w:tcPr>
          <w:p>
            <w:pPr>
              <w:pStyle w:val="TableParagraph"/>
              <w:spacing w:before="53"/>
              <w:ind w:left="167"/>
              <w:rPr>
                <w:sz w:val="18"/>
              </w:rPr>
            </w:pPr>
            <w:r>
              <w:rPr>
                <w:sz w:val="18"/>
              </w:rPr>
              <w:t>rudy</w:t>
            </w:r>
          </w:p>
        </w:tc>
        <w:tc>
          <w:tcPr>
            <w:tcW w:w="1063" w:type="dxa"/>
          </w:tcPr>
          <w:p>
            <w:pPr>
              <w:pStyle w:val="TableParagraph"/>
              <w:spacing w:line="210" w:lineRule="atLeast" w:before="50"/>
              <w:ind w:left="167" w:right="170"/>
              <w:rPr>
                <w:sz w:val="18"/>
              </w:rPr>
            </w:pPr>
            <w:r>
              <w:rPr>
                <w:sz w:val="18"/>
              </w:rPr>
              <w:t>před i po 1945</w:t>
            </w:r>
          </w:p>
        </w:tc>
        <w:tc>
          <w:tcPr>
            <w:tcW w:w="1140" w:type="dxa"/>
          </w:tcPr>
          <w:p>
            <w:pPr>
              <w:pStyle w:val="TableParagraph"/>
              <w:spacing w:line="210" w:lineRule="atLeast" w:before="50"/>
              <w:ind w:left="168" w:right="396"/>
              <w:rPr>
                <w:sz w:val="18"/>
              </w:rPr>
            </w:pPr>
            <w:r>
              <w:rPr>
                <w:sz w:val="18"/>
              </w:rPr>
              <w:t>méně přesná</w:t>
            </w:r>
          </w:p>
        </w:tc>
        <w:tc>
          <w:tcPr>
            <w:tcW w:w="1519" w:type="dxa"/>
          </w:tcPr>
          <w:p>
            <w:pPr>
              <w:pStyle w:val="TableParagraph"/>
              <w:spacing w:before="53"/>
              <w:ind w:left="168"/>
              <w:rPr>
                <w:sz w:val="18"/>
              </w:rPr>
            </w:pPr>
            <w:r>
              <w:rPr>
                <w:sz w:val="18"/>
              </w:rPr>
              <w:t>nedostatečná</w:t>
            </w:r>
          </w:p>
        </w:tc>
        <w:tc>
          <w:tcPr>
            <w:tcW w:w="1037" w:type="dxa"/>
          </w:tcPr>
          <w:p>
            <w:pPr>
              <w:pStyle w:val="TableParagraph"/>
              <w:spacing w:before="53"/>
              <w:ind w:left="165"/>
              <w:rPr>
                <w:sz w:val="18"/>
              </w:rPr>
            </w:pPr>
            <w:r>
              <w:rPr>
                <w:w w:val="99"/>
                <w:sz w:val="18"/>
              </w:rPr>
              <w:t>0</w:t>
            </w:r>
          </w:p>
        </w:tc>
        <w:tc>
          <w:tcPr>
            <w:tcW w:w="1435" w:type="dxa"/>
          </w:tcPr>
          <w:p>
            <w:pPr>
              <w:pStyle w:val="TableParagraph"/>
              <w:spacing w:before="53"/>
              <w:ind w:left="168"/>
              <w:rPr>
                <w:sz w:val="18"/>
              </w:rPr>
            </w:pPr>
            <w:r>
              <w:rPr>
                <w:sz w:val="18"/>
              </w:rPr>
              <w:t>zjištěná</w:t>
            </w:r>
          </w:p>
        </w:tc>
      </w:tr>
      <w:tr>
        <w:trPr>
          <w:trHeight w:val="465" w:hRule="atLeast"/>
        </w:trPr>
        <w:tc>
          <w:tcPr>
            <w:tcW w:w="840" w:type="dxa"/>
          </w:tcPr>
          <w:p>
            <w:pPr>
              <w:pStyle w:val="TableParagraph"/>
              <w:spacing w:before="51"/>
              <w:ind w:left="167"/>
              <w:rPr>
                <w:sz w:val="18"/>
              </w:rPr>
            </w:pPr>
            <w:r>
              <w:rPr>
                <w:sz w:val="18"/>
              </w:rPr>
              <w:t>2585</w:t>
            </w:r>
          </w:p>
        </w:tc>
        <w:tc>
          <w:tcPr>
            <w:tcW w:w="1685" w:type="dxa"/>
          </w:tcPr>
          <w:p>
            <w:pPr>
              <w:pStyle w:val="TableParagraph"/>
              <w:spacing w:line="210" w:lineRule="atLeast" w:before="48"/>
              <w:ind w:left="167" w:right="312"/>
              <w:rPr>
                <w:sz w:val="18"/>
              </w:rPr>
            </w:pPr>
            <w:r>
              <w:rPr>
                <w:sz w:val="18"/>
              </w:rPr>
              <w:t>Chrastava- Andělská Hora</w:t>
            </w:r>
          </w:p>
        </w:tc>
        <w:tc>
          <w:tcPr>
            <w:tcW w:w="919" w:type="dxa"/>
          </w:tcPr>
          <w:p>
            <w:pPr>
              <w:pStyle w:val="TableParagraph"/>
              <w:spacing w:before="51"/>
              <w:ind w:left="167"/>
              <w:rPr>
                <w:sz w:val="18"/>
              </w:rPr>
            </w:pPr>
            <w:r>
              <w:rPr>
                <w:sz w:val="18"/>
              </w:rPr>
              <w:t>rudy</w:t>
            </w:r>
          </w:p>
        </w:tc>
        <w:tc>
          <w:tcPr>
            <w:tcW w:w="1063" w:type="dxa"/>
          </w:tcPr>
          <w:p>
            <w:pPr>
              <w:pStyle w:val="TableParagraph"/>
              <w:spacing w:line="210" w:lineRule="atLeast" w:before="48"/>
              <w:ind w:left="167" w:right="170"/>
              <w:rPr>
                <w:sz w:val="18"/>
              </w:rPr>
            </w:pPr>
            <w:r>
              <w:rPr>
                <w:sz w:val="18"/>
              </w:rPr>
              <w:t>před i po 1945</w:t>
            </w:r>
          </w:p>
        </w:tc>
        <w:tc>
          <w:tcPr>
            <w:tcW w:w="1140" w:type="dxa"/>
          </w:tcPr>
          <w:p>
            <w:pPr>
              <w:pStyle w:val="TableParagraph"/>
              <w:spacing w:before="51"/>
              <w:ind w:left="168"/>
              <w:rPr>
                <w:sz w:val="18"/>
              </w:rPr>
            </w:pPr>
            <w:r>
              <w:rPr>
                <w:sz w:val="18"/>
              </w:rPr>
              <w:t>přesná</w:t>
            </w:r>
          </w:p>
        </w:tc>
        <w:tc>
          <w:tcPr>
            <w:tcW w:w="1519" w:type="dxa"/>
          </w:tcPr>
          <w:p>
            <w:pPr>
              <w:pStyle w:val="TableParagraph"/>
              <w:spacing w:before="51"/>
              <w:ind w:left="168"/>
              <w:rPr>
                <w:sz w:val="18"/>
              </w:rPr>
            </w:pPr>
            <w:r>
              <w:rPr>
                <w:sz w:val="18"/>
              </w:rPr>
              <w:t>dobrá</w:t>
            </w:r>
          </w:p>
        </w:tc>
        <w:tc>
          <w:tcPr>
            <w:tcW w:w="1037" w:type="dxa"/>
          </w:tcPr>
          <w:p>
            <w:pPr>
              <w:pStyle w:val="TableParagraph"/>
              <w:spacing w:before="51"/>
              <w:ind w:left="165"/>
              <w:rPr>
                <w:sz w:val="18"/>
              </w:rPr>
            </w:pPr>
            <w:r>
              <w:rPr>
                <w:sz w:val="18"/>
              </w:rPr>
              <w:t>550922</w:t>
            </w:r>
          </w:p>
        </w:tc>
        <w:tc>
          <w:tcPr>
            <w:tcW w:w="1435" w:type="dxa"/>
          </w:tcPr>
          <w:p>
            <w:pPr>
              <w:pStyle w:val="TableParagraph"/>
              <w:spacing w:before="51"/>
              <w:ind w:left="168"/>
              <w:rPr>
                <w:sz w:val="18"/>
              </w:rPr>
            </w:pPr>
            <w:r>
              <w:rPr>
                <w:sz w:val="18"/>
              </w:rPr>
              <w:t>zjištěná</w:t>
            </w:r>
          </w:p>
        </w:tc>
      </w:tr>
      <w:tr>
        <w:trPr>
          <w:trHeight w:val="465" w:hRule="atLeast"/>
        </w:trPr>
        <w:tc>
          <w:tcPr>
            <w:tcW w:w="840" w:type="dxa"/>
          </w:tcPr>
          <w:p>
            <w:pPr>
              <w:pStyle w:val="TableParagraph"/>
              <w:spacing w:before="50"/>
              <w:ind w:left="167"/>
              <w:rPr>
                <w:sz w:val="18"/>
              </w:rPr>
            </w:pPr>
            <w:r>
              <w:rPr>
                <w:sz w:val="18"/>
              </w:rPr>
              <w:t>2573</w:t>
            </w:r>
          </w:p>
        </w:tc>
        <w:tc>
          <w:tcPr>
            <w:tcW w:w="1685" w:type="dxa"/>
          </w:tcPr>
          <w:p>
            <w:pPr>
              <w:pStyle w:val="TableParagraph"/>
              <w:spacing w:before="50"/>
              <w:ind w:left="167"/>
              <w:rPr>
                <w:sz w:val="18"/>
              </w:rPr>
            </w:pPr>
            <w:r>
              <w:rPr>
                <w:sz w:val="18"/>
              </w:rPr>
              <w:t>Kryštofovo Údolí</w:t>
            </w:r>
          </w:p>
          <w:p>
            <w:pPr>
              <w:pStyle w:val="TableParagraph"/>
              <w:spacing w:line="186" w:lineRule="exact" w:before="2"/>
              <w:ind w:left="167"/>
              <w:rPr>
                <w:sz w:val="18"/>
              </w:rPr>
            </w:pPr>
            <w:r>
              <w:rPr>
                <w:sz w:val="18"/>
              </w:rPr>
              <w:t>- Rokytnice</w:t>
            </w:r>
          </w:p>
        </w:tc>
        <w:tc>
          <w:tcPr>
            <w:tcW w:w="919" w:type="dxa"/>
          </w:tcPr>
          <w:p>
            <w:pPr>
              <w:pStyle w:val="TableParagraph"/>
              <w:spacing w:before="50"/>
              <w:ind w:left="167"/>
              <w:rPr>
                <w:sz w:val="18"/>
              </w:rPr>
            </w:pPr>
            <w:r>
              <w:rPr>
                <w:sz w:val="18"/>
              </w:rPr>
              <w:t>rudy</w:t>
            </w:r>
          </w:p>
        </w:tc>
        <w:tc>
          <w:tcPr>
            <w:tcW w:w="1063" w:type="dxa"/>
          </w:tcPr>
          <w:p>
            <w:pPr>
              <w:pStyle w:val="TableParagraph"/>
              <w:spacing w:before="50"/>
              <w:ind w:left="167"/>
              <w:rPr>
                <w:sz w:val="18"/>
              </w:rPr>
            </w:pPr>
            <w:r>
              <w:rPr>
                <w:sz w:val="18"/>
              </w:rPr>
              <w:t>do 16.st.</w:t>
            </w:r>
          </w:p>
        </w:tc>
        <w:tc>
          <w:tcPr>
            <w:tcW w:w="1140" w:type="dxa"/>
          </w:tcPr>
          <w:p>
            <w:pPr>
              <w:pStyle w:val="TableParagraph"/>
              <w:spacing w:before="50"/>
              <w:ind w:left="168"/>
              <w:rPr>
                <w:sz w:val="18"/>
              </w:rPr>
            </w:pPr>
            <w:r>
              <w:rPr>
                <w:sz w:val="18"/>
              </w:rPr>
              <w:t>přesná</w:t>
            </w:r>
          </w:p>
        </w:tc>
        <w:tc>
          <w:tcPr>
            <w:tcW w:w="1519" w:type="dxa"/>
          </w:tcPr>
          <w:p>
            <w:pPr>
              <w:pStyle w:val="TableParagraph"/>
              <w:spacing w:before="50"/>
              <w:ind w:left="168"/>
              <w:rPr>
                <w:sz w:val="18"/>
              </w:rPr>
            </w:pPr>
            <w:r>
              <w:rPr>
                <w:sz w:val="18"/>
              </w:rPr>
              <w:t>částečná</w:t>
            </w:r>
          </w:p>
        </w:tc>
        <w:tc>
          <w:tcPr>
            <w:tcW w:w="1037" w:type="dxa"/>
          </w:tcPr>
          <w:p>
            <w:pPr>
              <w:pStyle w:val="TableParagraph"/>
              <w:spacing w:before="50"/>
              <w:ind w:left="165"/>
              <w:rPr>
                <w:sz w:val="18"/>
              </w:rPr>
            </w:pPr>
            <w:r>
              <w:rPr>
                <w:sz w:val="18"/>
              </w:rPr>
              <w:t>1281808</w:t>
            </w:r>
          </w:p>
        </w:tc>
        <w:tc>
          <w:tcPr>
            <w:tcW w:w="1435" w:type="dxa"/>
          </w:tcPr>
          <w:p>
            <w:pPr>
              <w:pStyle w:val="TableParagraph"/>
              <w:spacing w:before="50"/>
              <w:ind w:left="168"/>
              <w:rPr>
                <w:sz w:val="18"/>
              </w:rPr>
            </w:pPr>
            <w:r>
              <w:rPr>
                <w:sz w:val="18"/>
              </w:rPr>
              <w:t>zjištěná</w:t>
            </w:r>
          </w:p>
        </w:tc>
      </w:tr>
    </w:tbl>
    <w:p>
      <w:pPr>
        <w:spacing w:after="0"/>
        <w:rPr>
          <w:sz w:val="18"/>
        </w:rPr>
        <w:sectPr>
          <w:pgSz w:w="11900" w:h="16840"/>
          <w:pgMar w:header="557" w:footer="582" w:top="760" w:bottom="780" w:left="960" w:right="980"/>
        </w:sectPr>
      </w:pPr>
    </w:p>
    <w:p>
      <w:pPr>
        <w:pStyle w:val="BodyText"/>
        <w:spacing w:before="1"/>
        <w:ind w:left="0" w:firstLine="0"/>
        <w:jc w:val="left"/>
        <w:rPr>
          <w:b/>
          <w:sz w:val="28"/>
        </w:rPr>
      </w:pPr>
    </w:p>
    <w:p>
      <w:pPr>
        <w:pStyle w:val="BodyText"/>
        <w:ind w:left="144" w:firstLine="0"/>
        <w:jc w:val="left"/>
        <w:rPr>
          <w:sz w:val="20"/>
        </w:rPr>
      </w:pPr>
      <w:r>
        <w:rPr>
          <w:sz w:val="20"/>
        </w:rPr>
        <w:pict>
          <v:shape style="width:484.7pt;height:14.9pt;mso-position-horizontal-relative:char;mso-position-vertical-relative:line" type="#_x0000_t202" filled="true" fillcolor="#32cccc" stroked="false">
            <w10:anchorlock/>
            <v:textbox inset="0,0,0,0">
              <w:txbxContent>
                <w:p>
                  <w:pPr>
                    <w:tabs>
                      <w:tab w:pos="880" w:val="left" w:leader="none"/>
                    </w:tabs>
                    <w:spacing w:line="295" w:lineRule="exact" w:before="0"/>
                    <w:ind w:left="28" w:right="0" w:firstLine="0"/>
                    <w:jc w:val="left"/>
                    <w:rPr>
                      <w:b/>
                      <w:sz w:val="26"/>
                    </w:rPr>
                  </w:pPr>
                  <w:r>
                    <w:rPr>
                      <w:b/>
                      <w:sz w:val="26"/>
                    </w:rPr>
                    <w:t>F</w:t>
                    <w:tab/>
                    <w:t>PODMÍNKY PRO VYUŽITÍ PLOCH S ROZDÍLNÝM ZPŮSOBEM</w:t>
                  </w:r>
                  <w:r>
                    <w:rPr>
                      <w:b/>
                      <w:spacing w:val="-11"/>
                      <w:sz w:val="26"/>
                    </w:rPr>
                    <w:t> </w:t>
                  </w:r>
                  <w:r>
                    <w:rPr>
                      <w:b/>
                      <w:sz w:val="26"/>
                    </w:rPr>
                    <w:t>VYUŽITÍ</w:t>
                  </w:r>
                </w:p>
              </w:txbxContent>
            </v:textbox>
            <v:fill type="solid"/>
          </v:shape>
        </w:pict>
      </w:r>
      <w:r>
        <w:rPr>
          <w:sz w:val="20"/>
        </w:rPr>
      </w:r>
    </w:p>
    <w:p>
      <w:pPr>
        <w:pStyle w:val="BodyText"/>
        <w:spacing w:before="7"/>
        <w:ind w:left="0" w:firstLine="0"/>
        <w:jc w:val="left"/>
        <w:rPr>
          <w:b/>
          <w:sz w:val="17"/>
        </w:rPr>
      </w:pPr>
    </w:p>
    <w:p>
      <w:pPr>
        <w:pStyle w:val="ListParagraph"/>
        <w:numPr>
          <w:ilvl w:val="0"/>
          <w:numId w:val="1"/>
        </w:numPr>
        <w:tabs>
          <w:tab w:pos="1024" w:val="left" w:leader="none"/>
          <w:tab w:pos="1025" w:val="left" w:leader="none"/>
        </w:tabs>
        <w:spacing w:line="237" w:lineRule="auto" w:before="104" w:after="0"/>
        <w:ind w:left="1024" w:right="145" w:hanging="852"/>
        <w:jc w:val="both"/>
        <w:rPr>
          <w:sz w:val="22"/>
        </w:rPr>
      </w:pPr>
      <w:r>
        <w:rPr>
          <w:sz w:val="22"/>
        </w:rPr>
        <w:t>Podmínky pro funkční využití a prostorové uspořádání území (též regulativy) se stanovují společně pro </w:t>
      </w:r>
      <w:r>
        <w:rPr>
          <w:b/>
          <w:sz w:val="22"/>
        </w:rPr>
        <w:t>celé správní území města</w:t>
      </w:r>
      <w:r>
        <w:rPr>
          <w:b/>
          <w:spacing w:val="-5"/>
          <w:sz w:val="22"/>
        </w:rPr>
        <w:t> </w:t>
      </w:r>
      <w:r>
        <w:rPr>
          <w:b/>
          <w:sz w:val="22"/>
        </w:rPr>
        <w:t>Chrastava</w:t>
      </w:r>
      <w:r>
        <w:rPr>
          <w:sz w:val="22"/>
        </w:rPr>
        <w:t>.</w:t>
      </w:r>
    </w:p>
    <w:p>
      <w:pPr>
        <w:pStyle w:val="ListParagraph"/>
        <w:numPr>
          <w:ilvl w:val="0"/>
          <w:numId w:val="1"/>
        </w:numPr>
        <w:tabs>
          <w:tab w:pos="1024" w:val="left" w:leader="none"/>
          <w:tab w:pos="1025" w:val="left" w:leader="none"/>
        </w:tabs>
        <w:spacing w:line="240" w:lineRule="auto" w:before="121" w:after="0"/>
        <w:ind w:left="1024" w:right="143" w:hanging="852"/>
        <w:jc w:val="both"/>
        <w:rPr>
          <w:sz w:val="22"/>
        </w:rPr>
      </w:pPr>
      <w:r>
        <w:rPr>
          <w:b/>
          <w:sz w:val="22"/>
        </w:rPr>
        <w:t>Podmínkami pro funkční využití a prostorové uspořádání území </w:t>
      </w:r>
      <w:r>
        <w:rPr>
          <w:sz w:val="22"/>
        </w:rPr>
        <w:t>se rozumí nástroje pro usměrňování zřizování staveb a zařízení, provádění úprav a změn kultur a činností ovlivňujících využití a rozvoj území (dále jen činnosti), o nichž se rozhoduje v územním nebo stavebním řízení, popřípadě správním řízení</w:t>
      </w:r>
      <w:r>
        <w:rPr>
          <w:spacing w:val="1"/>
          <w:sz w:val="22"/>
        </w:rPr>
        <w:t> </w:t>
      </w:r>
      <w:r>
        <w:rPr>
          <w:sz w:val="22"/>
        </w:rPr>
        <w:t>souvisejícím.</w:t>
      </w:r>
    </w:p>
    <w:p>
      <w:pPr>
        <w:pStyle w:val="ListParagraph"/>
        <w:numPr>
          <w:ilvl w:val="0"/>
          <w:numId w:val="1"/>
        </w:numPr>
        <w:tabs>
          <w:tab w:pos="1024" w:val="left" w:leader="none"/>
          <w:tab w:pos="1025" w:val="left" w:leader="none"/>
        </w:tabs>
        <w:spacing w:line="240" w:lineRule="auto" w:before="120" w:after="0"/>
        <w:ind w:left="1024" w:right="146" w:hanging="852"/>
        <w:jc w:val="both"/>
        <w:rPr>
          <w:sz w:val="22"/>
        </w:rPr>
      </w:pPr>
      <w:r>
        <w:rPr>
          <w:sz w:val="22"/>
        </w:rPr>
        <w:t>Podmínky pro funkční využití území jsou definovány pro jednotlivé barevně rozlišené plochy s rozdílným způsobem využití, podmínky pro prostorové uspořádání jsou definovány  pro  jednotlivé   regulační   bloky   označené   regulačními   kódy   vymezené v </w:t>
      </w:r>
      <w:r>
        <w:rPr>
          <w:b/>
          <w:sz w:val="22"/>
        </w:rPr>
        <w:t>Hlavním výkresu </w:t>
      </w:r>
      <w:r>
        <w:rPr>
          <w:sz w:val="22"/>
        </w:rPr>
        <w:t>(2), vždy platí jednotně pro celou takto vymezenou plochu resp.</w:t>
      </w:r>
      <w:r>
        <w:rPr>
          <w:spacing w:val="-35"/>
          <w:sz w:val="22"/>
        </w:rPr>
        <w:t> </w:t>
      </w:r>
      <w:r>
        <w:rPr>
          <w:sz w:val="22"/>
        </w:rPr>
        <w:t>blok.</w:t>
      </w:r>
    </w:p>
    <w:p>
      <w:pPr>
        <w:pStyle w:val="BodyText"/>
        <w:spacing w:before="1"/>
        <w:ind w:left="0" w:firstLine="0"/>
        <w:jc w:val="left"/>
        <w:rPr>
          <w:sz w:val="19"/>
        </w:rPr>
      </w:pPr>
      <w:r>
        <w:rPr/>
        <w:pict>
          <v:shape style="position:absolute;margin-left:55.199997pt;margin-top:12.19921pt;width:484.7pt;height:14.9pt;mso-position-horizontal-relative:page;mso-position-vertical-relative:paragraph;z-index:-15713792;mso-wrap-distance-left:0;mso-wrap-distance-right:0" type="#_x0000_t202" filled="true" fillcolor="#ccffff" stroked="false">
            <v:textbox inset="0,0,0,0">
              <w:txbxContent>
                <w:p>
                  <w:pPr>
                    <w:tabs>
                      <w:tab w:pos="880" w:val="left" w:leader="none"/>
                    </w:tabs>
                    <w:spacing w:line="295" w:lineRule="exact" w:before="0"/>
                    <w:ind w:left="28" w:right="0" w:firstLine="0"/>
                    <w:jc w:val="left"/>
                    <w:rPr>
                      <w:b/>
                      <w:sz w:val="26"/>
                    </w:rPr>
                  </w:pPr>
                  <w:r>
                    <w:rPr>
                      <w:b/>
                      <w:sz w:val="26"/>
                    </w:rPr>
                    <w:t>F.1</w:t>
                    <w:tab/>
                    <w:t>DEFINICE</w:t>
                  </w:r>
                </w:p>
              </w:txbxContent>
            </v:textbox>
            <v:fill type="solid"/>
            <w10:wrap type="topAndBottom"/>
          </v:shape>
        </w:pict>
      </w:r>
    </w:p>
    <w:p>
      <w:pPr>
        <w:pStyle w:val="ListParagraph"/>
        <w:numPr>
          <w:ilvl w:val="0"/>
          <w:numId w:val="1"/>
        </w:numPr>
        <w:tabs>
          <w:tab w:pos="1024" w:val="left" w:leader="none"/>
          <w:tab w:pos="1025" w:val="left" w:leader="none"/>
        </w:tabs>
        <w:spacing w:line="244" w:lineRule="auto" w:before="100" w:after="0"/>
        <w:ind w:left="1024" w:right="146" w:hanging="853"/>
        <w:jc w:val="both"/>
        <w:rPr>
          <w:sz w:val="22"/>
        </w:rPr>
      </w:pPr>
      <w:r>
        <w:rPr>
          <w:b/>
          <w:sz w:val="22"/>
        </w:rPr>
        <w:t>Úprava </w:t>
      </w:r>
      <w:r>
        <w:rPr>
          <w:sz w:val="22"/>
        </w:rPr>
        <w:t>je účelové využití pozemku neprodukčního charakteru zejména úpravy zpevněných povrchů veřejných prostranství, zahradní úpravy, krajinářské</w:t>
      </w:r>
      <w:r>
        <w:rPr>
          <w:spacing w:val="-14"/>
          <w:sz w:val="22"/>
        </w:rPr>
        <w:t> </w:t>
      </w:r>
      <w:r>
        <w:rPr>
          <w:sz w:val="22"/>
        </w:rPr>
        <w:t>úpravy.</w:t>
      </w:r>
    </w:p>
    <w:p>
      <w:pPr>
        <w:pStyle w:val="ListParagraph"/>
        <w:numPr>
          <w:ilvl w:val="0"/>
          <w:numId w:val="1"/>
        </w:numPr>
        <w:tabs>
          <w:tab w:pos="1024" w:val="left" w:leader="none"/>
          <w:tab w:pos="1025" w:val="left" w:leader="none"/>
        </w:tabs>
        <w:spacing w:line="244" w:lineRule="auto" w:before="50" w:after="0"/>
        <w:ind w:left="1024" w:right="146" w:hanging="853"/>
        <w:jc w:val="both"/>
        <w:rPr>
          <w:sz w:val="22"/>
        </w:rPr>
      </w:pPr>
      <w:r>
        <w:rPr>
          <w:b/>
          <w:sz w:val="22"/>
        </w:rPr>
        <w:t>Kultura </w:t>
      </w:r>
      <w:r>
        <w:rPr>
          <w:sz w:val="22"/>
        </w:rPr>
        <w:t>je nestavební využití pozemku produkčního i neprodukčního charakteru zejména lesní porosty, orná půda, trvalé travní porosty, zvláštní kultury, vodní plochy a</w:t>
      </w:r>
      <w:r>
        <w:rPr>
          <w:spacing w:val="-24"/>
          <w:sz w:val="22"/>
        </w:rPr>
        <w:t> </w:t>
      </w:r>
      <w:r>
        <w:rPr>
          <w:sz w:val="22"/>
        </w:rPr>
        <w:t>toky.</w:t>
      </w:r>
    </w:p>
    <w:p>
      <w:pPr>
        <w:pStyle w:val="ListParagraph"/>
        <w:numPr>
          <w:ilvl w:val="0"/>
          <w:numId w:val="1"/>
        </w:numPr>
        <w:tabs>
          <w:tab w:pos="1024" w:val="left" w:leader="none"/>
          <w:tab w:pos="1025" w:val="left" w:leader="none"/>
        </w:tabs>
        <w:spacing w:line="240" w:lineRule="auto" w:before="51" w:after="0"/>
        <w:ind w:left="1024" w:right="148" w:hanging="853"/>
        <w:jc w:val="both"/>
        <w:rPr>
          <w:sz w:val="22"/>
        </w:rPr>
      </w:pPr>
      <w:r>
        <w:rPr>
          <w:b/>
          <w:sz w:val="22"/>
        </w:rPr>
        <w:t>Přístřešky </w:t>
      </w:r>
      <w:r>
        <w:rPr>
          <w:sz w:val="22"/>
        </w:rPr>
        <w:t>jsou stavby o výšce max. 5 m a půdorysné ploše max. 30 m² využitelné pouze v souladu s charakterem příslušné plochy, nikoliv však pro trvalé bydlení nebo rodinnou rekreaci.</w:t>
      </w:r>
    </w:p>
    <w:p>
      <w:pPr>
        <w:pStyle w:val="ListParagraph"/>
        <w:numPr>
          <w:ilvl w:val="0"/>
          <w:numId w:val="1"/>
        </w:numPr>
        <w:tabs>
          <w:tab w:pos="1024" w:val="left" w:leader="none"/>
          <w:tab w:pos="1025" w:val="left" w:leader="none"/>
        </w:tabs>
        <w:spacing w:line="240" w:lineRule="auto" w:before="59" w:after="0"/>
        <w:ind w:left="1024" w:right="146" w:hanging="853"/>
        <w:jc w:val="both"/>
        <w:rPr>
          <w:sz w:val="22"/>
        </w:rPr>
      </w:pPr>
      <w:r>
        <w:rPr>
          <w:b/>
          <w:sz w:val="22"/>
        </w:rPr>
        <w:t>Dům smíšené funkce </w:t>
      </w:r>
      <w:r>
        <w:rPr>
          <w:sz w:val="22"/>
        </w:rPr>
        <w:t>je stavba, kde podlahovou plochu podlaží, které navazuje bezprostředně na veřejné prostranství, zaujímá občanské vybavení, minimálně 25 % podlahové plochy zaujímá trvalé bydlení, ostatní náplň odpovídá podmínkám využití dané plochy.</w:t>
      </w:r>
    </w:p>
    <w:p>
      <w:pPr>
        <w:pStyle w:val="ListParagraph"/>
        <w:numPr>
          <w:ilvl w:val="0"/>
          <w:numId w:val="1"/>
        </w:numPr>
        <w:tabs>
          <w:tab w:pos="1024" w:val="left" w:leader="none"/>
          <w:tab w:pos="1025" w:val="left" w:leader="none"/>
        </w:tabs>
        <w:spacing w:line="240" w:lineRule="auto" w:before="61" w:after="0"/>
        <w:ind w:left="1024" w:right="146" w:hanging="853"/>
        <w:jc w:val="both"/>
        <w:rPr>
          <w:sz w:val="22"/>
        </w:rPr>
      </w:pPr>
      <w:r>
        <w:rPr>
          <w:b/>
          <w:sz w:val="22"/>
        </w:rPr>
        <w:t>Rodinná farma </w:t>
      </w:r>
      <w:r>
        <w:rPr>
          <w:sz w:val="22"/>
        </w:rPr>
        <w:t>je stavba nebo soubor staveb, kde minimálně 25 % podlahové plochy zaujímá trvalé bydlení a dalších minimálně 50 % podlahové plochy zaujímá zemědělské hospodářství zaměřené na chov užitkových zvířat nebo koní, rostlinnou výrobu a údržbu krajiny, doplněné navazujícími aktivitami zejména v agroturistice a řemeslné</w:t>
      </w:r>
      <w:r>
        <w:rPr>
          <w:spacing w:val="-21"/>
          <w:sz w:val="22"/>
        </w:rPr>
        <w:t> </w:t>
      </w:r>
      <w:r>
        <w:rPr>
          <w:sz w:val="22"/>
        </w:rPr>
        <w:t>výrobě.</w:t>
      </w:r>
    </w:p>
    <w:p>
      <w:pPr>
        <w:pStyle w:val="ListParagraph"/>
        <w:numPr>
          <w:ilvl w:val="0"/>
          <w:numId w:val="1"/>
        </w:numPr>
        <w:tabs>
          <w:tab w:pos="1024" w:val="left" w:leader="none"/>
          <w:tab w:pos="1025" w:val="left" w:leader="none"/>
        </w:tabs>
        <w:spacing w:line="240" w:lineRule="auto" w:before="61" w:after="0"/>
        <w:ind w:left="1024" w:right="146" w:hanging="853"/>
        <w:jc w:val="both"/>
        <w:rPr>
          <w:sz w:val="22"/>
        </w:rPr>
      </w:pPr>
      <w:r>
        <w:rPr>
          <w:b/>
          <w:sz w:val="22"/>
        </w:rPr>
        <w:t>Integrovaná </w:t>
      </w:r>
      <w:r>
        <w:rPr>
          <w:sz w:val="22"/>
        </w:rPr>
        <w:t>je stavba, zařízení nebo činnost určená pro jiné využití než stavba nebo zařízení určené pro hlavní využití, jejichž nedílnou funkční resp. stavební součást</w:t>
      </w:r>
      <w:r>
        <w:rPr>
          <w:spacing w:val="-30"/>
          <w:sz w:val="22"/>
        </w:rPr>
        <w:t> </w:t>
      </w:r>
      <w:r>
        <w:rPr>
          <w:sz w:val="22"/>
        </w:rPr>
        <w:t>tvoří.</w:t>
      </w:r>
    </w:p>
    <w:p>
      <w:pPr>
        <w:pStyle w:val="ListParagraph"/>
        <w:numPr>
          <w:ilvl w:val="0"/>
          <w:numId w:val="1"/>
        </w:numPr>
        <w:tabs>
          <w:tab w:pos="1024" w:val="left" w:leader="none"/>
          <w:tab w:pos="1025" w:val="left" w:leader="none"/>
        </w:tabs>
        <w:spacing w:line="242" w:lineRule="auto" w:before="58" w:after="0"/>
        <w:ind w:left="1024" w:right="142" w:hanging="853"/>
        <w:jc w:val="both"/>
        <w:rPr>
          <w:sz w:val="22"/>
        </w:rPr>
      </w:pPr>
      <w:r>
        <w:rPr>
          <w:b/>
          <w:sz w:val="22"/>
        </w:rPr>
        <w:t>Nerušící výroba </w:t>
      </w:r>
      <w:r>
        <w:rPr>
          <w:sz w:val="22"/>
        </w:rPr>
        <w:t>je ta, která svým provozováním a technickým zařízením nenaruší užívání staveb a zařízení ve svém okolí a nesníží kvalitu prostředí resp. pohodu bydlení navazujícího území a svým charakterem a kapacitou nezvýší dopravní zátěž</w:t>
      </w:r>
      <w:r>
        <w:rPr>
          <w:spacing w:val="-24"/>
          <w:sz w:val="22"/>
        </w:rPr>
        <w:t> </w:t>
      </w:r>
      <w:r>
        <w:rPr>
          <w:sz w:val="22"/>
        </w:rPr>
        <w:t>území.</w:t>
      </w:r>
    </w:p>
    <w:p>
      <w:pPr>
        <w:pStyle w:val="ListParagraph"/>
        <w:numPr>
          <w:ilvl w:val="0"/>
          <w:numId w:val="1"/>
        </w:numPr>
        <w:tabs>
          <w:tab w:pos="1024" w:val="left" w:leader="none"/>
          <w:tab w:pos="1025" w:val="left" w:leader="none"/>
        </w:tabs>
        <w:spacing w:line="240" w:lineRule="auto" w:before="54" w:after="0"/>
        <w:ind w:left="1024" w:right="148" w:hanging="853"/>
        <w:jc w:val="both"/>
        <w:rPr>
          <w:sz w:val="22"/>
        </w:rPr>
      </w:pPr>
      <w:r>
        <w:rPr>
          <w:b/>
          <w:sz w:val="22"/>
        </w:rPr>
        <w:t>Pohoda bydlení </w:t>
      </w:r>
      <w:r>
        <w:rPr>
          <w:sz w:val="22"/>
        </w:rPr>
        <w:t>je atmosféra kvalitního prostředí pro bydlení příznivá pro všechny skupiny jeho uživatelů, je souhrnem činitelů a vlivů přispívajících ke zdravému</w:t>
      </w:r>
      <w:r>
        <w:rPr>
          <w:spacing w:val="-28"/>
          <w:sz w:val="22"/>
        </w:rPr>
        <w:t> </w:t>
      </w:r>
      <w:r>
        <w:rPr>
          <w:sz w:val="22"/>
        </w:rPr>
        <w:t>bydlení:</w:t>
      </w:r>
    </w:p>
    <w:p>
      <w:pPr>
        <w:pStyle w:val="ListParagraph"/>
        <w:numPr>
          <w:ilvl w:val="0"/>
          <w:numId w:val="2"/>
        </w:numPr>
        <w:tabs>
          <w:tab w:pos="1024" w:val="left" w:leader="none"/>
          <w:tab w:pos="1025" w:val="left" w:leader="none"/>
        </w:tabs>
        <w:spacing w:line="240" w:lineRule="auto" w:before="61" w:after="0"/>
        <w:ind w:left="1024" w:right="145" w:hanging="853"/>
        <w:jc w:val="both"/>
        <w:rPr>
          <w:sz w:val="22"/>
        </w:rPr>
      </w:pPr>
      <w:r>
        <w:rPr>
          <w:sz w:val="22"/>
        </w:rPr>
        <w:t>standard bydlení s přiměřeným množstvím zejména veřejné infrastruktury, rekreační zeleně a veřejných prostranství sloužících k utužování sousedského</w:t>
      </w:r>
      <w:r>
        <w:rPr>
          <w:spacing w:val="-16"/>
          <w:sz w:val="22"/>
        </w:rPr>
        <w:t> </w:t>
      </w:r>
      <w:r>
        <w:rPr>
          <w:sz w:val="22"/>
        </w:rPr>
        <w:t>společenství,</w:t>
      </w:r>
    </w:p>
    <w:p>
      <w:pPr>
        <w:pStyle w:val="ListParagraph"/>
        <w:numPr>
          <w:ilvl w:val="0"/>
          <w:numId w:val="2"/>
        </w:numPr>
        <w:tabs>
          <w:tab w:pos="1024" w:val="left" w:leader="none"/>
          <w:tab w:pos="1025" w:val="left" w:leader="none"/>
        </w:tabs>
        <w:spacing w:line="240" w:lineRule="auto" w:before="59" w:after="0"/>
        <w:ind w:left="1024" w:right="146" w:hanging="853"/>
        <w:jc w:val="both"/>
        <w:rPr>
          <w:sz w:val="22"/>
        </w:rPr>
      </w:pPr>
      <w:r>
        <w:rPr>
          <w:sz w:val="22"/>
        </w:rPr>
        <w:t>kvalita složek životního prostředí - zejména přiměřené (nepřekračující přípustné limity) intenzity hluku z dopravy, výroby i zábavních aktivit, emise prachu a pachů, oslunění a osvětlení</w:t>
      </w:r>
      <w:r>
        <w:rPr>
          <w:spacing w:val="-3"/>
          <w:sz w:val="22"/>
        </w:rPr>
        <w:t> </w:t>
      </w:r>
      <w:r>
        <w:rPr>
          <w:sz w:val="22"/>
        </w:rPr>
        <w:t>aj.</w:t>
      </w:r>
    </w:p>
    <w:p>
      <w:pPr>
        <w:pStyle w:val="ListParagraph"/>
        <w:numPr>
          <w:ilvl w:val="0"/>
          <w:numId w:val="1"/>
        </w:numPr>
        <w:tabs>
          <w:tab w:pos="1024" w:val="left" w:leader="none"/>
          <w:tab w:pos="1025" w:val="left" w:leader="none"/>
        </w:tabs>
        <w:spacing w:line="242" w:lineRule="auto" w:before="56" w:after="0"/>
        <w:ind w:left="1024" w:right="146" w:hanging="852"/>
        <w:jc w:val="both"/>
        <w:rPr>
          <w:sz w:val="22"/>
        </w:rPr>
      </w:pPr>
      <w:r>
        <w:rPr>
          <w:b/>
          <w:sz w:val="22"/>
        </w:rPr>
        <w:t>Kvalita prostředí </w:t>
      </w:r>
      <w:r>
        <w:rPr>
          <w:sz w:val="22"/>
        </w:rPr>
        <w:t>je stav prostředí dané plochy příznivý pro naplňování požadavků všech skupin jejích uživatelů na její využití v souladu s jejím účelem, je souhrnem činitelů a vlivů přispívajících ke zdravému užívání různých druhů životního</w:t>
      </w:r>
      <w:r>
        <w:rPr>
          <w:spacing w:val="-8"/>
          <w:sz w:val="22"/>
        </w:rPr>
        <w:t> </w:t>
      </w:r>
      <w:r>
        <w:rPr>
          <w:sz w:val="22"/>
        </w:rPr>
        <w:t>prostoru:</w:t>
      </w:r>
    </w:p>
    <w:p>
      <w:pPr>
        <w:pStyle w:val="ListParagraph"/>
        <w:numPr>
          <w:ilvl w:val="0"/>
          <w:numId w:val="2"/>
        </w:numPr>
        <w:tabs>
          <w:tab w:pos="1024" w:val="left" w:leader="none"/>
          <w:tab w:pos="1025" w:val="left" w:leader="none"/>
        </w:tabs>
        <w:spacing w:line="240" w:lineRule="auto" w:before="57" w:after="0"/>
        <w:ind w:left="1024" w:right="145" w:hanging="853"/>
        <w:jc w:val="both"/>
        <w:rPr>
          <w:sz w:val="22"/>
        </w:rPr>
      </w:pPr>
      <w:r>
        <w:rPr>
          <w:sz w:val="22"/>
        </w:rPr>
        <w:t>standard prostředí s přiměřeným množstvím zejména veřejné infrastruktury, rekreační zeleně a veřejných prostranství sloužících k naplňování požadavků na danou plochu dle účelu jejího</w:t>
      </w:r>
      <w:r>
        <w:rPr>
          <w:spacing w:val="-1"/>
          <w:sz w:val="22"/>
        </w:rPr>
        <w:t> </w:t>
      </w:r>
      <w:r>
        <w:rPr>
          <w:sz w:val="22"/>
        </w:rPr>
        <w:t>využití,</w:t>
      </w:r>
    </w:p>
    <w:p>
      <w:pPr>
        <w:pStyle w:val="ListParagraph"/>
        <w:numPr>
          <w:ilvl w:val="0"/>
          <w:numId w:val="2"/>
        </w:numPr>
        <w:tabs>
          <w:tab w:pos="1024" w:val="left" w:leader="none"/>
          <w:tab w:pos="1025" w:val="left" w:leader="none"/>
        </w:tabs>
        <w:spacing w:line="240" w:lineRule="auto" w:before="58" w:after="0"/>
        <w:ind w:left="1024" w:right="146" w:hanging="853"/>
        <w:jc w:val="both"/>
        <w:rPr>
          <w:sz w:val="22"/>
        </w:rPr>
      </w:pPr>
      <w:r>
        <w:rPr>
          <w:sz w:val="22"/>
        </w:rPr>
        <w:t>kvalita složek životního prostředí - zejména přiměřené (nepřekračující přípustné limity) intenzity hluku z dopravy, výroby i zábavních aktivit, emise prachu a pachů, oslunění a osvětlení</w:t>
      </w:r>
      <w:r>
        <w:rPr>
          <w:spacing w:val="-3"/>
          <w:sz w:val="22"/>
        </w:rPr>
        <w:t> </w:t>
      </w:r>
      <w:r>
        <w:rPr>
          <w:sz w:val="22"/>
        </w:rPr>
        <w:t>aj.</w:t>
      </w:r>
    </w:p>
    <w:p>
      <w:pPr>
        <w:spacing w:after="0" w:line="240" w:lineRule="auto"/>
        <w:jc w:val="both"/>
        <w:rPr>
          <w:sz w:val="22"/>
        </w:rPr>
        <w:sectPr>
          <w:headerReference w:type="default" r:id="rId17"/>
          <w:footerReference w:type="default" r:id="rId18"/>
          <w:pgSz w:w="11900" w:h="16840"/>
          <w:pgMar w:header="561" w:footer="582" w:top="760" w:bottom="780" w:left="960" w:right="980"/>
          <w:pgNumType w:start="40"/>
        </w:sectPr>
      </w:pPr>
    </w:p>
    <w:p>
      <w:pPr>
        <w:pStyle w:val="ListParagraph"/>
        <w:numPr>
          <w:ilvl w:val="0"/>
          <w:numId w:val="1"/>
        </w:numPr>
        <w:tabs>
          <w:tab w:pos="1024" w:val="left" w:leader="none"/>
          <w:tab w:pos="1025" w:val="left" w:leader="none"/>
        </w:tabs>
        <w:spacing w:line="240" w:lineRule="auto" w:before="78" w:after="0"/>
        <w:ind w:left="1024" w:right="146" w:hanging="852"/>
        <w:jc w:val="both"/>
        <w:rPr>
          <w:sz w:val="22"/>
        </w:rPr>
      </w:pPr>
      <w:r>
        <w:rPr>
          <w:b/>
          <w:sz w:val="22"/>
        </w:rPr>
        <w:t>Oplocení, </w:t>
      </w:r>
      <w:r>
        <w:rPr>
          <w:sz w:val="22"/>
        </w:rPr>
        <w:t>které je principiálně nepřípustné na všech nezastavitelných plochách řešeného území, nepředstavují dočasně zřizované oplocenky na PUPFL a ZPF se speciálními kulturami a ohradníky ploch pro chov hospodářských zvířat nebo</w:t>
      </w:r>
      <w:r>
        <w:rPr>
          <w:spacing w:val="-15"/>
          <w:sz w:val="22"/>
        </w:rPr>
        <w:t> </w:t>
      </w:r>
      <w:r>
        <w:rPr>
          <w:sz w:val="22"/>
        </w:rPr>
        <w:t>koní.</w:t>
      </w:r>
    </w:p>
    <w:p>
      <w:pPr>
        <w:pStyle w:val="ListParagraph"/>
        <w:numPr>
          <w:ilvl w:val="0"/>
          <w:numId w:val="1"/>
        </w:numPr>
        <w:tabs>
          <w:tab w:pos="1024" w:val="left" w:leader="none"/>
          <w:tab w:pos="1025" w:val="left" w:leader="none"/>
        </w:tabs>
        <w:spacing w:line="240" w:lineRule="auto" w:before="59" w:after="0"/>
        <w:ind w:left="1024" w:right="146" w:hanging="852"/>
        <w:jc w:val="both"/>
        <w:rPr>
          <w:sz w:val="22"/>
        </w:rPr>
      </w:pPr>
      <w:r>
        <w:rPr>
          <w:b/>
          <w:sz w:val="22"/>
        </w:rPr>
        <w:t>Zelení </w:t>
      </w:r>
      <w:r>
        <w:rPr>
          <w:sz w:val="22"/>
        </w:rPr>
        <w:t>se rozumí z hlediska biologického přirozené nebo uměle založené kultury ve formě odpovídající účelu plochy - travní porosty, záhony okrasných a užitkových rostlin, souvislé keřové porosty, solitéry a skupiny okrasných i užitkových dřevin, stromořadí - nikoliv dřeviny v kontejnerech, květinové koše a mísy, zatravněné rošty a dlaždice, travní porosty zakryté energetickými zařízeními obnovitelných</w:t>
      </w:r>
      <w:r>
        <w:rPr>
          <w:spacing w:val="-2"/>
          <w:sz w:val="22"/>
        </w:rPr>
        <w:t> </w:t>
      </w:r>
      <w:r>
        <w:rPr>
          <w:sz w:val="22"/>
        </w:rPr>
        <w:t>zdrojů.</w:t>
      </w:r>
    </w:p>
    <w:p>
      <w:pPr>
        <w:pStyle w:val="ListParagraph"/>
        <w:numPr>
          <w:ilvl w:val="0"/>
          <w:numId w:val="1"/>
        </w:numPr>
        <w:tabs>
          <w:tab w:pos="1024" w:val="left" w:leader="none"/>
          <w:tab w:pos="1025" w:val="left" w:leader="none"/>
        </w:tabs>
        <w:spacing w:line="240" w:lineRule="auto" w:before="60" w:after="0"/>
        <w:ind w:left="1024" w:right="145" w:hanging="852"/>
        <w:jc w:val="both"/>
        <w:rPr>
          <w:sz w:val="22"/>
        </w:rPr>
      </w:pPr>
      <w:r>
        <w:rPr>
          <w:b/>
          <w:sz w:val="22"/>
        </w:rPr>
        <w:t>Zalesňování </w:t>
      </w:r>
      <w:r>
        <w:rPr>
          <w:sz w:val="22"/>
        </w:rPr>
        <w:t>nelesní půdy na prostorově oddělených plochách o výměře nepřesahující 0,20 ha není považováno za změnu funkčního využití a nevyžaduje změny ÚP za podmínky, že povede k navýšení ekologické stability</w:t>
      </w:r>
      <w:r>
        <w:rPr>
          <w:spacing w:val="-7"/>
          <w:sz w:val="22"/>
        </w:rPr>
        <w:t> </w:t>
      </w:r>
      <w:r>
        <w:rPr>
          <w:sz w:val="22"/>
        </w:rPr>
        <w:t>území.</w:t>
      </w:r>
    </w:p>
    <w:p>
      <w:pPr>
        <w:pStyle w:val="ListParagraph"/>
        <w:numPr>
          <w:ilvl w:val="0"/>
          <w:numId w:val="1"/>
        </w:numPr>
        <w:tabs>
          <w:tab w:pos="1024" w:val="left" w:leader="none"/>
          <w:tab w:pos="1025" w:val="left" w:leader="none"/>
        </w:tabs>
        <w:spacing w:line="240" w:lineRule="auto" w:before="60" w:after="0"/>
        <w:ind w:left="1024" w:right="146" w:hanging="852"/>
        <w:jc w:val="both"/>
        <w:rPr>
          <w:sz w:val="22"/>
        </w:rPr>
      </w:pPr>
      <w:r>
        <w:rPr>
          <w:b/>
          <w:sz w:val="22"/>
        </w:rPr>
        <w:t>Základní vybavenost území </w:t>
      </w:r>
      <w:r>
        <w:rPr>
          <w:sz w:val="22"/>
        </w:rPr>
        <w:t>představuje obecný výčet pozemků, staveb, zařízení, úprav, kultur a činností, které mohou za podmínek neodporujících hlavnímu a přípustnému využití a pokud je to smysluplné, tvořit nedílnou součást zastavěných a zastavitelných resp. nezastavěných a nezastavitelných</w:t>
      </w:r>
      <w:r>
        <w:rPr>
          <w:spacing w:val="-3"/>
          <w:sz w:val="22"/>
        </w:rPr>
        <w:t> </w:t>
      </w:r>
      <w:r>
        <w:rPr>
          <w:sz w:val="22"/>
        </w:rPr>
        <w:t>ploch,</w:t>
      </w:r>
    </w:p>
    <w:p>
      <w:pPr>
        <w:pStyle w:val="ListParagraph"/>
        <w:numPr>
          <w:ilvl w:val="0"/>
          <w:numId w:val="2"/>
        </w:numPr>
        <w:tabs>
          <w:tab w:pos="1024" w:val="left" w:leader="none"/>
          <w:tab w:pos="1025" w:val="left" w:leader="none"/>
        </w:tabs>
        <w:spacing w:line="240" w:lineRule="auto" w:before="63" w:after="0"/>
        <w:ind w:left="1024" w:right="147" w:hanging="852"/>
        <w:jc w:val="both"/>
        <w:rPr>
          <w:sz w:val="22"/>
        </w:rPr>
      </w:pPr>
      <w:r>
        <w:rPr>
          <w:sz w:val="22"/>
        </w:rPr>
        <w:t>pokud jsou stavby, zařízení, úpravy, kultury a činnosti součástí využití hlavního, přípustného nebo podmíněně přípustného, je jejich posuzování jako základního vybavení irelevantní.</w:t>
      </w:r>
    </w:p>
    <w:p>
      <w:pPr>
        <w:pStyle w:val="ListParagraph"/>
        <w:numPr>
          <w:ilvl w:val="0"/>
          <w:numId w:val="1"/>
        </w:numPr>
        <w:tabs>
          <w:tab w:pos="1024" w:val="left" w:leader="none"/>
          <w:tab w:pos="1025" w:val="left" w:leader="none"/>
        </w:tabs>
        <w:spacing w:line="240" w:lineRule="auto" w:before="56" w:after="0"/>
        <w:ind w:left="1024" w:right="144" w:hanging="852"/>
        <w:jc w:val="both"/>
        <w:rPr>
          <w:sz w:val="22"/>
        </w:rPr>
      </w:pPr>
      <w:r>
        <w:rPr>
          <w:b/>
          <w:sz w:val="22"/>
        </w:rPr>
        <w:t>Komerční služby </w:t>
      </w:r>
      <w:r>
        <w:rPr>
          <w:sz w:val="22"/>
        </w:rPr>
        <w:t>jsou výrobní i nevýrobní služby poskytující na rozdíl od zejména zdravotních a sociálních služeb materiální požitky, jejichž umístění je vázané na přímý styk s koncovým zákazníkem.</w:t>
      </w:r>
    </w:p>
    <w:p>
      <w:pPr>
        <w:pStyle w:val="ListParagraph"/>
        <w:numPr>
          <w:ilvl w:val="0"/>
          <w:numId w:val="1"/>
        </w:numPr>
        <w:tabs>
          <w:tab w:pos="1024" w:val="left" w:leader="none"/>
          <w:tab w:pos="1025" w:val="left" w:leader="none"/>
        </w:tabs>
        <w:spacing w:line="242" w:lineRule="auto" w:before="60" w:after="0"/>
        <w:ind w:left="1024" w:right="146" w:hanging="852"/>
        <w:jc w:val="both"/>
        <w:rPr>
          <w:sz w:val="22"/>
        </w:rPr>
      </w:pPr>
      <w:r>
        <w:rPr>
          <w:b/>
          <w:sz w:val="22"/>
        </w:rPr>
        <w:t>Zakončující podlaží </w:t>
      </w:r>
      <w:r>
        <w:rPr>
          <w:sz w:val="22"/>
        </w:rPr>
        <w:t>je nejvyšší nadzemní podlaží buďto vestavěné do konstrukce střechy (podkroví) nebo půdorysně ustupující, vždy může zaujímat maximálně 80% podlahové plochy předchozího</w:t>
      </w:r>
      <w:r>
        <w:rPr>
          <w:spacing w:val="-3"/>
          <w:sz w:val="22"/>
        </w:rPr>
        <w:t> </w:t>
      </w:r>
      <w:r>
        <w:rPr>
          <w:sz w:val="22"/>
        </w:rPr>
        <w:t>podlaží.</w:t>
      </w:r>
    </w:p>
    <w:p>
      <w:pPr>
        <w:pStyle w:val="ListParagraph"/>
        <w:numPr>
          <w:ilvl w:val="0"/>
          <w:numId w:val="1"/>
        </w:numPr>
        <w:tabs>
          <w:tab w:pos="1024" w:val="left" w:leader="none"/>
          <w:tab w:pos="1025" w:val="left" w:leader="none"/>
        </w:tabs>
        <w:spacing w:line="242" w:lineRule="auto" w:before="51" w:after="0"/>
        <w:ind w:left="1024" w:right="147" w:hanging="852"/>
        <w:jc w:val="both"/>
        <w:rPr>
          <w:sz w:val="22"/>
        </w:rPr>
      </w:pPr>
      <w:r>
        <w:rPr>
          <w:sz w:val="22"/>
        </w:rPr>
        <w:t>Případnou </w:t>
      </w:r>
      <w:r>
        <w:rPr>
          <w:b/>
          <w:sz w:val="22"/>
        </w:rPr>
        <w:t>odchylku </w:t>
      </w:r>
      <w:r>
        <w:rPr>
          <w:sz w:val="22"/>
        </w:rPr>
        <w:t>mezi vymezováním hranic ploch a linií nad katastrální mapou v ÚP a nad geodetickým zaměřením v následujících stupních dokumentace menší než 5 m považovat za nepřesnost kresby</w:t>
      </w:r>
      <w:r>
        <w:rPr>
          <w:spacing w:val="-4"/>
          <w:sz w:val="22"/>
        </w:rPr>
        <w:t> </w:t>
      </w:r>
      <w:r>
        <w:rPr>
          <w:sz w:val="22"/>
        </w:rPr>
        <w:t>ÚP.</w:t>
      </w:r>
    </w:p>
    <w:p>
      <w:pPr>
        <w:pStyle w:val="ListParagraph"/>
        <w:numPr>
          <w:ilvl w:val="0"/>
          <w:numId w:val="1"/>
        </w:numPr>
        <w:tabs>
          <w:tab w:pos="1024" w:val="left" w:leader="none"/>
          <w:tab w:pos="1025" w:val="left" w:leader="none"/>
        </w:tabs>
        <w:spacing w:line="240" w:lineRule="auto" w:before="55" w:after="0"/>
        <w:ind w:left="1024" w:right="146" w:hanging="852"/>
        <w:jc w:val="both"/>
        <w:rPr>
          <w:sz w:val="22"/>
        </w:rPr>
      </w:pPr>
      <w:r>
        <w:rPr>
          <w:sz w:val="22"/>
        </w:rPr>
        <w:t>Povinnost </w:t>
      </w:r>
      <w:r>
        <w:rPr>
          <w:b/>
          <w:sz w:val="22"/>
        </w:rPr>
        <w:t>prokázat </w:t>
      </w:r>
      <w:r>
        <w:rPr>
          <w:sz w:val="22"/>
        </w:rPr>
        <w:t>plnění požadavků tohoto územního plánu má stavebník potažmo projektant daného záměru, přičemž příslušný dotčený orgán resp. stavební úřad pouze ověřuje správnost tohoto</w:t>
      </w:r>
      <w:r>
        <w:rPr>
          <w:spacing w:val="-1"/>
          <w:sz w:val="22"/>
        </w:rPr>
        <w:t> </w:t>
      </w:r>
      <w:r>
        <w:rPr>
          <w:sz w:val="22"/>
        </w:rPr>
        <w:t>prokazování.</w:t>
      </w:r>
    </w:p>
    <w:p>
      <w:pPr>
        <w:pStyle w:val="BodyText"/>
        <w:spacing w:before="1"/>
        <w:ind w:left="0" w:firstLine="0"/>
        <w:jc w:val="left"/>
        <w:rPr>
          <w:sz w:val="19"/>
        </w:rPr>
      </w:pPr>
      <w:r>
        <w:rPr/>
        <w:pict>
          <v:shape style="position:absolute;margin-left:55.199997pt;margin-top:12.213239pt;width:484.7pt;height:14.9pt;mso-position-horizontal-relative:page;mso-position-vertical-relative:paragraph;z-index:-15713280;mso-wrap-distance-left:0;mso-wrap-distance-right:0" type="#_x0000_t202" filled="true" fillcolor="#ccffff" stroked="false">
            <v:textbox inset="0,0,0,0">
              <w:txbxContent>
                <w:p>
                  <w:pPr>
                    <w:tabs>
                      <w:tab w:pos="880" w:val="left" w:leader="none"/>
                    </w:tabs>
                    <w:spacing w:line="295" w:lineRule="exact" w:before="0"/>
                    <w:ind w:left="28" w:right="0" w:firstLine="0"/>
                    <w:jc w:val="left"/>
                    <w:rPr>
                      <w:b/>
                      <w:sz w:val="26"/>
                    </w:rPr>
                  </w:pPr>
                  <w:r>
                    <w:rPr>
                      <w:b/>
                      <w:sz w:val="26"/>
                    </w:rPr>
                    <w:t>F.2</w:t>
                    <w:tab/>
                    <w:t>FUNKČNÍ VYUŽITÍ PLOCH S ROZDÍLNÝM ZPŮSOBEM</w:t>
                  </w:r>
                  <w:r>
                    <w:rPr>
                      <w:b/>
                      <w:spacing w:val="3"/>
                      <w:sz w:val="26"/>
                    </w:rPr>
                    <w:t> </w:t>
                  </w:r>
                  <w:r>
                    <w:rPr>
                      <w:b/>
                      <w:sz w:val="26"/>
                    </w:rPr>
                    <w:t>VYUŽITÍ</w:t>
                  </w:r>
                </w:p>
              </w:txbxContent>
            </v:textbox>
            <v:fill type="solid"/>
            <w10:wrap type="topAndBottom"/>
          </v:shape>
        </w:pict>
      </w:r>
    </w:p>
    <w:p>
      <w:pPr>
        <w:pStyle w:val="ListParagraph"/>
        <w:numPr>
          <w:ilvl w:val="0"/>
          <w:numId w:val="1"/>
        </w:numPr>
        <w:tabs>
          <w:tab w:pos="1024" w:val="left" w:leader="none"/>
          <w:tab w:pos="1025" w:val="left" w:leader="none"/>
        </w:tabs>
        <w:spacing w:line="252" w:lineRule="exact" w:before="102" w:after="0"/>
        <w:ind w:left="1024" w:right="0" w:hanging="853"/>
        <w:jc w:val="both"/>
        <w:rPr>
          <w:sz w:val="22"/>
        </w:rPr>
      </w:pPr>
      <w:r>
        <w:rPr>
          <w:sz w:val="22"/>
        </w:rPr>
        <w:t>Území města Chrastava je z hlediska funkčního využití beze zbytku složeno z</w:t>
      </w:r>
      <w:r>
        <w:rPr>
          <w:spacing w:val="-18"/>
          <w:sz w:val="22"/>
        </w:rPr>
        <w:t> </w:t>
      </w:r>
      <w:r>
        <w:rPr>
          <w:sz w:val="22"/>
        </w:rPr>
        <w:t>jednotlivých</w:t>
      </w:r>
    </w:p>
    <w:p>
      <w:pPr>
        <w:spacing w:line="252" w:lineRule="exact" w:before="0"/>
        <w:ind w:left="1024" w:right="0" w:firstLine="0"/>
        <w:jc w:val="left"/>
        <w:rPr>
          <w:sz w:val="22"/>
        </w:rPr>
      </w:pPr>
      <w:r>
        <w:rPr>
          <w:b/>
          <w:sz w:val="22"/>
        </w:rPr>
        <w:t>ploch s rozdílným způsobem využití </w:t>
      </w:r>
      <w:r>
        <w:rPr>
          <w:sz w:val="22"/>
        </w:rPr>
        <w:t>(dále též plochy).</w:t>
      </w:r>
    </w:p>
    <w:p>
      <w:pPr>
        <w:pStyle w:val="Heading2"/>
        <w:numPr>
          <w:ilvl w:val="2"/>
          <w:numId w:val="11"/>
        </w:numPr>
        <w:tabs>
          <w:tab w:pos="1025" w:val="left" w:leader="none"/>
        </w:tabs>
        <w:spacing w:line="240" w:lineRule="auto" w:before="180" w:after="0"/>
        <w:ind w:left="1024" w:right="0" w:hanging="853"/>
        <w:jc w:val="both"/>
      </w:pPr>
      <w:r>
        <w:rPr/>
        <w:t>ROZLIŠENÍ PLOCH PODLE</w:t>
      </w:r>
      <w:r>
        <w:rPr>
          <w:spacing w:val="-1"/>
        </w:rPr>
        <w:t> </w:t>
      </w:r>
      <w:r>
        <w:rPr/>
        <w:t>ZASTAVITELNOSTI</w:t>
      </w:r>
    </w:p>
    <w:p>
      <w:pPr>
        <w:pStyle w:val="ListParagraph"/>
        <w:numPr>
          <w:ilvl w:val="0"/>
          <w:numId w:val="1"/>
        </w:numPr>
        <w:tabs>
          <w:tab w:pos="1024" w:val="left" w:leader="none"/>
          <w:tab w:pos="1025" w:val="left" w:leader="none"/>
        </w:tabs>
        <w:spacing w:line="240" w:lineRule="auto" w:before="120" w:after="0"/>
        <w:ind w:left="1024" w:right="0" w:hanging="853"/>
        <w:jc w:val="both"/>
        <w:rPr>
          <w:sz w:val="22"/>
        </w:rPr>
      </w:pPr>
      <w:r>
        <w:rPr>
          <w:sz w:val="22"/>
        </w:rPr>
        <w:t>Území města Chrastava se podle </w:t>
      </w:r>
      <w:r>
        <w:rPr>
          <w:b/>
          <w:sz w:val="22"/>
        </w:rPr>
        <w:t>zastavitelnosti </w:t>
      </w:r>
      <w:r>
        <w:rPr>
          <w:sz w:val="22"/>
        </w:rPr>
        <w:t>dělí</w:t>
      </w:r>
      <w:r>
        <w:rPr>
          <w:spacing w:val="-11"/>
          <w:sz w:val="22"/>
        </w:rPr>
        <w:t> </w:t>
      </w:r>
      <w:r>
        <w:rPr>
          <w:sz w:val="22"/>
        </w:rPr>
        <w:t>na:</w:t>
      </w:r>
    </w:p>
    <w:p>
      <w:pPr>
        <w:pStyle w:val="BodyText"/>
        <w:tabs>
          <w:tab w:pos="1024" w:val="left" w:leader="none"/>
        </w:tabs>
        <w:spacing w:before="59"/>
        <w:ind w:right="145" w:hanging="852"/>
      </w:pPr>
      <w:r>
        <w:rPr>
          <w:rFonts w:ascii="Times New Roman" w:hAnsi="Times New Roman"/>
        </w:rPr>
        <w:t>-</w:t>
        <w:tab/>
      </w:r>
      <w:r>
        <w:rPr>
          <w:b/>
        </w:rPr>
        <w:t>zastavěné plochy </w:t>
      </w:r>
      <w:r>
        <w:rPr/>
        <w:t>(pojem územního plánu) - plochy vymezené v ÚP Chrastava jako stabilizovaná součást legálně realizované stavební struktury města uvnitř nebo vně zastavěného území - soubor převážně zastavěných stavebních pozemků, které umožňují zastavění podle podmínek pro využití a uspořádání území tohoto</w:t>
      </w:r>
      <w:r>
        <w:rPr>
          <w:spacing w:val="-19"/>
        </w:rPr>
        <w:t> </w:t>
      </w:r>
      <w:r>
        <w:rPr/>
        <w:t>ÚP,</w:t>
      </w:r>
    </w:p>
    <w:p>
      <w:pPr>
        <w:pStyle w:val="BodyText"/>
        <w:tabs>
          <w:tab w:pos="1024" w:val="left" w:leader="none"/>
        </w:tabs>
        <w:spacing w:before="60"/>
        <w:ind w:right="146" w:hanging="852"/>
      </w:pPr>
      <w:r>
        <w:rPr>
          <w:rFonts w:ascii="Times New Roman" w:hAnsi="Times New Roman"/>
        </w:rPr>
        <w:t>-</w:t>
        <w:tab/>
      </w:r>
      <w:r>
        <w:rPr>
          <w:b/>
        </w:rPr>
        <w:t>zastavitelné plochy </w:t>
      </w:r>
      <w:r>
        <w:rPr/>
        <w:t>(pojem stavebního zákona) - plochy navržené v ÚP Chrastava ke změně využití nezastavěných ploch uvnitř nebo vně zastavěného území, na nichž ÚP umožňuje zastavění podle podmínek pro využití a uspořádání</w:t>
      </w:r>
      <w:r>
        <w:rPr>
          <w:spacing w:val="-11"/>
        </w:rPr>
        <w:t> </w:t>
      </w:r>
      <w:r>
        <w:rPr/>
        <w:t>území,</w:t>
      </w:r>
    </w:p>
    <w:p>
      <w:pPr>
        <w:pStyle w:val="BodyText"/>
        <w:tabs>
          <w:tab w:pos="1024" w:val="left" w:leader="none"/>
        </w:tabs>
        <w:spacing w:before="59"/>
        <w:ind w:right="146"/>
      </w:pPr>
      <w:r>
        <w:rPr>
          <w:rFonts w:ascii="Times New Roman" w:hAnsi="Times New Roman"/>
        </w:rPr>
        <w:t>-</w:t>
        <w:tab/>
      </w:r>
      <w:r>
        <w:rPr>
          <w:b/>
        </w:rPr>
        <w:t>plochy přestavby </w:t>
      </w:r>
      <w:r>
        <w:rPr/>
        <w:t>(pojem územního plánu) - plochy navržené v ÚP Chrastava ke změně využití zastavěných ploch převážně uvnitř zastavěného území, na nichž ÚP umožňuje zastavění podle podmínek pro využití a uspořádání</w:t>
      </w:r>
      <w:r>
        <w:rPr>
          <w:spacing w:val="-13"/>
        </w:rPr>
        <w:t> </w:t>
      </w:r>
      <w:r>
        <w:rPr/>
        <w:t>území,</w:t>
      </w:r>
    </w:p>
    <w:p>
      <w:pPr>
        <w:pStyle w:val="BodyText"/>
        <w:tabs>
          <w:tab w:pos="1024" w:val="left" w:leader="none"/>
        </w:tabs>
        <w:spacing w:before="58"/>
        <w:ind w:right="145" w:hanging="852"/>
      </w:pPr>
      <w:r>
        <w:rPr>
          <w:rFonts w:ascii="Times New Roman" w:hAnsi="Times New Roman"/>
        </w:rPr>
        <w:t>-</w:t>
        <w:tab/>
      </w:r>
      <w:r>
        <w:rPr>
          <w:b/>
        </w:rPr>
        <w:t>nezastavěné plochy </w:t>
      </w:r>
      <w:r>
        <w:rPr/>
        <w:t>(pojem územního plánu) - plochy vymezené v ÚP Chrastava jako stabilizovaná součást zastavěného nebo nezastavěného území - soubor převážně nezastavěných pozemků, které neumožňují zastavění s výjimkou staveb a zařízení, která slouží bezprostředně k zajištění hlavního, přípustného a podmíněně přípustného využití dané plochy a nelze je odůvodněně umístit na plochách zastavěných resp. zastavitelných, umožňují využívání podle podmínek pro využití a uspořádání území tohoto</w:t>
      </w:r>
      <w:r>
        <w:rPr>
          <w:spacing w:val="-20"/>
        </w:rPr>
        <w:t> </w:t>
      </w:r>
      <w:r>
        <w:rPr/>
        <w:t>ÚP,</w:t>
      </w:r>
    </w:p>
    <w:p>
      <w:pPr>
        <w:spacing w:after="0"/>
        <w:sectPr>
          <w:pgSz w:w="11900" w:h="16840"/>
          <w:pgMar w:header="561" w:footer="582" w:top="760" w:bottom="780" w:left="960" w:right="980"/>
        </w:sectPr>
      </w:pPr>
    </w:p>
    <w:p>
      <w:pPr>
        <w:pStyle w:val="BodyText"/>
        <w:tabs>
          <w:tab w:pos="1024" w:val="left" w:leader="none"/>
        </w:tabs>
        <w:spacing w:before="78"/>
        <w:ind w:right="145" w:hanging="852"/>
      </w:pPr>
      <w:r>
        <w:rPr>
          <w:rFonts w:ascii="Times New Roman" w:hAnsi="Times New Roman"/>
        </w:rPr>
        <w:t>-</w:t>
        <w:tab/>
      </w:r>
      <w:r>
        <w:rPr>
          <w:b/>
        </w:rPr>
        <w:t>nezastavitelné plochy </w:t>
      </w:r>
      <w:r>
        <w:rPr/>
        <w:t>(pojem územního plánu) - plochy navržené v ÚP Chrastava ke změně využití zastavěných i nezastavěných ploch uvnitř nebo vně zastavěného území (plochy změn v krajině), na nichž ÚP neumožňuje zastavění s výjimkou staveb a zařízení, která slouží bezprostředně k zajištění hlavního, přípustného a podmíněně přípustného využití dané plochy a nelze je odůvodněně umístit na plochách zastavěných resp. zastavitelných, umožňují využívání podle podmínek pro využití a uspořádání území tohoto ÚP.</w:t>
      </w:r>
    </w:p>
    <w:p>
      <w:pPr>
        <w:pStyle w:val="Heading3"/>
        <w:spacing w:after="6"/>
        <w:jc w:val="both"/>
      </w:pPr>
      <w:r>
        <w:rPr/>
        <w:t>ZASTAVĚNÉ PLOCHY, ZASTAVITELNÉ PLOCHY, PLOCHY PŘESTAVBY</w:t>
      </w: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6"/>
        <w:gridCol w:w="8789"/>
      </w:tblGrid>
      <w:tr>
        <w:trPr>
          <w:trHeight w:val="316" w:hRule="atLeast"/>
        </w:trPr>
        <w:tc>
          <w:tcPr>
            <w:tcW w:w="886" w:type="dxa"/>
            <w:shd w:val="clear" w:color="auto" w:fill="CCFFFF"/>
          </w:tcPr>
          <w:p>
            <w:pPr>
              <w:pStyle w:val="TableParagraph"/>
              <w:spacing w:before="49"/>
              <w:ind w:left="55"/>
              <w:rPr>
                <w:b/>
                <w:sz w:val="18"/>
              </w:rPr>
            </w:pPr>
            <w:r>
              <w:rPr>
                <w:b/>
                <w:sz w:val="18"/>
              </w:rPr>
              <w:t>kód</w:t>
            </w:r>
          </w:p>
        </w:tc>
        <w:tc>
          <w:tcPr>
            <w:tcW w:w="8789" w:type="dxa"/>
            <w:shd w:val="clear" w:color="auto" w:fill="CCFFFF"/>
          </w:tcPr>
          <w:p>
            <w:pPr>
              <w:pStyle w:val="TableParagraph"/>
              <w:spacing w:before="49"/>
              <w:ind w:left="57"/>
              <w:rPr>
                <w:b/>
                <w:sz w:val="18"/>
              </w:rPr>
            </w:pPr>
            <w:r>
              <w:rPr>
                <w:b/>
                <w:sz w:val="18"/>
              </w:rPr>
              <w:t>název</w:t>
            </w:r>
          </w:p>
        </w:tc>
      </w:tr>
      <w:tr>
        <w:trPr>
          <w:trHeight w:val="316" w:hRule="atLeast"/>
        </w:trPr>
        <w:tc>
          <w:tcPr>
            <w:tcW w:w="886" w:type="dxa"/>
          </w:tcPr>
          <w:p>
            <w:pPr>
              <w:pStyle w:val="TableParagraph"/>
              <w:spacing w:before="54"/>
              <w:ind w:left="55"/>
              <w:rPr>
                <w:sz w:val="18"/>
              </w:rPr>
            </w:pPr>
            <w:r>
              <w:rPr>
                <w:w w:val="99"/>
                <w:sz w:val="18"/>
              </w:rPr>
              <w:t>B</w:t>
            </w:r>
          </w:p>
        </w:tc>
        <w:tc>
          <w:tcPr>
            <w:tcW w:w="8789" w:type="dxa"/>
          </w:tcPr>
          <w:p>
            <w:pPr>
              <w:pStyle w:val="TableParagraph"/>
              <w:spacing w:before="54"/>
              <w:ind w:left="56"/>
              <w:rPr>
                <w:sz w:val="18"/>
              </w:rPr>
            </w:pPr>
            <w:r>
              <w:rPr>
                <w:sz w:val="18"/>
              </w:rPr>
              <w:t>plochy bydlení</w:t>
            </w:r>
          </w:p>
        </w:tc>
      </w:tr>
      <w:tr>
        <w:trPr>
          <w:trHeight w:val="318" w:hRule="atLeast"/>
        </w:trPr>
        <w:tc>
          <w:tcPr>
            <w:tcW w:w="886" w:type="dxa"/>
          </w:tcPr>
          <w:p>
            <w:pPr>
              <w:pStyle w:val="TableParagraph"/>
              <w:spacing w:before="54"/>
              <w:ind w:left="55"/>
              <w:rPr>
                <w:sz w:val="18"/>
              </w:rPr>
            </w:pPr>
            <w:r>
              <w:rPr>
                <w:w w:val="99"/>
                <w:sz w:val="18"/>
              </w:rPr>
              <w:t>A</w:t>
            </w:r>
          </w:p>
        </w:tc>
        <w:tc>
          <w:tcPr>
            <w:tcW w:w="8789" w:type="dxa"/>
          </w:tcPr>
          <w:p>
            <w:pPr>
              <w:pStyle w:val="TableParagraph"/>
              <w:spacing w:before="54"/>
              <w:ind w:left="56"/>
              <w:rPr>
                <w:sz w:val="18"/>
              </w:rPr>
            </w:pPr>
            <w:r>
              <w:rPr>
                <w:sz w:val="18"/>
              </w:rPr>
              <w:t>plochy smíšených aktivit</w:t>
            </w:r>
          </w:p>
        </w:tc>
      </w:tr>
      <w:tr>
        <w:trPr>
          <w:trHeight w:val="316" w:hRule="atLeast"/>
        </w:trPr>
        <w:tc>
          <w:tcPr>
            <w:tcW w:w="886" w:type="dxa"/>
          </w:tcPr>
          <w:p>
            <w:pPr>
              <w:pStyle w:val="TableParagraph"/>
              <w:spacing w:before="54"/>
              <w:ind w:left="55"/>
              <w:rPr>
                <w:sz w:val="18"/>
              </w:rPr>
            </w:pPr>
            <w:r>
              <w:rPr>
                <w:w w:val="99"/>
                <w:sz w:val="18"/>
              </w:rPr>
              <w:t>C</w:t>
            </w:r>
          </w:p>
        </w:tc>
        <w:tc>
          <w:tcPr>
            <w:tcW w:w="8789" w:type="dxa"/>
          </w:tcPr>
          <w:p>
            <w:pPr>
              <w:pStyle w:val="TableParagraph"/>
              <w:spacing w:before="54"/>
              <w:ind w:left="57"/>
              <w:rPr>
                <w:sz w:val="18"/>
              </w:rPr>
            </w:pPr>
            <w:r>
              <w:rPr>
                <w:sz w:val="18"/>
              </w:rPr>
              <w:t>plochy smíšené centrální</w:t>
            </w:r>
          </w:p>
        </w:tc>
      </w:tr>
      <w:tr>
        <w:trPr>
          <w:trHeight w:val="316" w:hRule="atLeast"/>
        </w:trPr>
        <w:tc>
          <w:tcPr>
            <w:tcW w:w="886" w:type="dxa"/>
          </w:tcPr>
          <w:p>
            <w:pPr>
              <w:pStyle w:val="TableParagraph"/>
              <w:spacing w:before="54"/>
              <w:ind w:left="55"/>
              <w:rPr>
                <w:sz w:val="18"/>
              </w:rPr>
            </w:pPr>
            <w:r>
              <w:rPr>
                <w:w w:val="99"/>
                <w:sz w:val="18"/>
              </w:rPr>
              <w:t>O</w:t>
            </w:r>
          </w:p>
        </w:tc>
        <w:tc>
          <w:tcPr>
            <w:tcW w:w="8789" w:type="dxa"/>
          </w:tcPr>
          <w:p>
            <w:pPr>
              <w:pStyle w:val="TableParagraph"/>
              <w:spacing w:before="54"/>
              <w:ind w:left="57"/>
              <w:rPr>
                <w:sz w:val="18"/>
              </w:rPr>
            </w:pPr>
            <w:r>
              <w:rPr>
                <w:sz w:val="18"/>
              </w:rPr>
              <w:t>plochy občanského vybavení</w:t>
            </w:r>
          </w:p>
        </w:tc>
      </w:tr>
      <w:tr>
        <w:trPr>
          <w:trHeight w:val="316" w:hRule="atLeast"/>
        </w:trPr>
        <w:tc>
          <w:tcPr>
            <w:tcW w:w="886" w:type="dxa"/>
          </w:tcPr>
          <w:p>
            <w:pPr>
              <w:pStyle w:val="TableParagraph"/>
              <w:spacing w:before="54"/>
              <w:ind w:left="55"/>
              <w:rPr>
                <w:sz w:val="18"/>
              </w:rPr>
            </w:pPr>
            <w:r>
              <w:rPr>
                <w:w w:val="99"/>
                <w:sz w:val="18"/>
              </w:rPr>
              <w:t>H</w:t>
            </w:r>
          </w:p>
        </w:tc>
        <w:tc>
          <w:tcPr>
            <w:tcW w:w="8789" w:type="dxa"/>
          </w:tcPr>
          <w:p>
            <w:pPr>
              <w:pStyle w:val="TableParagraph"/>
              <w:spacing w:before="54"/>
              <w:ind w:left="57"/>
              <w:rPr>
                <w:sz w:val="18"/>
              </w:rPr>
            </w:pPr>
            <w:r>
              <w:rPr>
                <w:sz w:val="18"/>
              </w:rPr>
              <w:t>plochy občanského vybavení-hřbitovy</w:t>
            </w:r>
          </w:p>
        </w:tc>
      </w:tr>
      <w:tr>
        <w:trPr>
          <w:trHeight w:val="318" w:hRule="atLeast"/>
        </w:trPr>
        <w:tc>
          <w:tcPr>
            <w:tcW w:w="886" w:type="dxa"/>
          </w:tcPr>
          <w:p>
            <w:pPr>
              <w:pStyle w:val="TableParagraph"/>
              <w:spacing w:before="54"/>
              <w:ind w:left="55"/>
              <w:rPr>
                <w:sz w:val="18"/>
              </w:rPr>
            </w:pPr>
            <w:r>
              <w:rPr>
                <w:w w:val="99"/>
                <w:sz w:val="18"/>
              </w:rPr>
              <w:t>S</w:t>
            </w:r>
          </w:p>
        </w:tc>
        <w:tc>
          <w:tcPr>
            <w:tcW w:w="8789" w:type="dxa"/>
          </w:tcPr>
          <w:p>
            <w:pPr>
              <w:pStyle w:val="TableParagraph"/>
              <w:spacing w:before="54"/>
              <w:ind w:left="56"/>
              <w:rPr>
                <w:sz w:val="18"/>
              </w:rPr>
            </w:pPr>
            <w:r>
              <w:rPr>
                <w:sz w:val="18"/>
              </w:rPr>
              <w:t>plochy občanského vybavení-sportu (též plochy sportu)</w:t>
            </w:r>
          </w:p>
        </w:tc>
      </w:tr>
      <w:tr>
        <w:trPr>
          <w:trHeight w:val="316" w:hRule="atLeast"/>
        </w:trPr>
        <w:tc>
          <w:tcPr>
            <w:tcW w:w="886" w:type="dxa"/>
          </w:tcPr>
          <w:p>
            <w:pPr>
              <w:pStyle w:val="TableParagraph"/>
              <w:spacing w:before="54"/>
              <w:ind w:left="55"/>
              <w:rPr>
                <w:sz w:val="18"/>
              </w:rPr>
            </w:pPr>
            <w:r>
              <w:rPr>
                <w:w w:val="99"/>
                <w:sz w:val="18"/>
              </w:rPr>
              <w:t>R</w:t>
            </w:r>
          </w:p>
        </w:tc>
        <w:tc>
          <w:tcPr>
            <w:tcW w:w="8789" w:type="dxa"/>
          </w:tcPr>
          <w:p>
            <w:pPr>
              <w:pStyle w:val="TableParagraph"/>
              <w:spacing w:before="54"/>
              <w:ind w:left="57"/>
              <w:rPr>
                <w:sz w:val="18"/>
              </w:rPr>
            </w:pPr>
            <w:r>
              <w:rPr>
                <w:sz w:val="18"/>
              </w:rPr>
              <w:t>plochy rekreace</w:t>
            </w:r>
          </w:p>
        </w:tc>
      </w:tr>
      <w:tr>
        <w:trPr>
          <w:trHeight w:val="316" w:hRule="atLeast"/>
        </w:trPr>
        <w:tc>
          <w:tcPr>
            <w:tcW w:w="886" w:type="dxa"/>
          </w:tcPr>
          <w:p>
            <w:pPr>
              <w:pStyle w:val="TableParagraph"/>
              <w:spacing w:before="54"/>
              <w:ind w:left="55"/>
              <w:rPr>
                <w:sz w:val="18"/>
              </w:rPr>
            </w:pPr>
            <w:r>
              <w:rPr>
                <w:w w:val="99"/>
                <w:sz w:val="18"/>
              </w:rPr>
              <w:t>E</w:t>
            </w:r>
          </w:p>
        </w:tc>
        <w:tc>
          <w:tcPr>
            <w:tcW w:w="8789" w:type="dxa"/>
          </w:tcPr>
          <w:p>
            <w:pPr>
              <w:pStyle w:val="TableParagraph"/>
              <w:spacing w:before="54"/>
              <w:ind w:left="56"/>
              <w:rPr>
                <w:sz w:val="18"/>
              </w:rPr>
            </w:pPr>
            <w:r>
              <w:rPr>
                <w:sz w:val="18"/>
              </w:rPr>
              <w:t>plochy výroby a skladování</w:t>
            </w:r>
          </w:p>
        </w:tc>
      </w:tr>
      <w:tr>
        <w:trPr>
          <w:trHeight w:val="316" w:hRule="atLeast"/>
        </w:trPr>
        <w:tc>
          <w:tcPr>
            <w:tcW w:w="886" w:type="dxa"/>
          </w:tcPr>
          <w:p>
            <w:pPr>
              <w:pStyle w:val="TableParagraph"/>
              <w:spacing w:before="54"/>
              <w:ind w:left="55"/>
              <w:rPr>
                <w:sz w:val="18"/>
              </w:rPr>
            </w:pPr>
            <w:r>
              <w:rPr>
                <w:w w:val="100"/>
                <w:sz w:val="18"/>
              </w:rPr>
              <w:t>I</w:t>
            </w:r>
          </w:p>
        </w:tc>
        <w:tc>
          <w:tcPr>
            <w:tcW w:w="8789" w:type="dxa"/>
          </w:tcPr>
          <w:p>
            <w:pPr>
              <w:pStyle w:val="TableParagraph"/>
              <w:spacing w:before="54"/>
              <w:ind w:left="56"/>
              <w:rPr>
                <w:sz w:val="18"/>
              </w:rPr>
            </w:pPr>
            <w:r>
              <w:rPr>
                <w:sz w:val="18"/>
              </w:rPr>
              <w:t>plochy technické infrastruktury</w:t>
            </w:r>
          </w:p>
        </w:tc>
      </w:tr>
      <w:tr>
        <w:trPr>
          <w:trHeight w:val="318" w:hRule="atLeast"/>
        </w:trPr>
        <w:tc>
          <w:tcPr>
            <w:tcW w:w="886" w:type="dxa"/>
          </w:tcPr>
          <w:p>
            <w:pPr>
              <w:pStyle w:val="TableParagraph"/>
              <w:spacing w:before="54"/>
              <w:ind w:left="55"/>
              <w:rPr>
                <w:sz w:val="18"/>
              </w:rPr>
            </w:pPr>
            <w:r>
              <w:rPr>
                <w:w w:val="99"/>
                <w:sz w:val="18"/>
              </w:rPr>
              <w:t>M</w:t>
            </w:r>
          </w:p>
        </w:tc>
        <w:tc>
          <w:tcPr>
            <w:tcW w:w="8789" w:type="dxa"/>
          </w:tcPr>
          <w:p>
            <w:pPr>
              <w:pStyle w:val="TableParagraph"/>
              <w:spacing w:before="54"/>
              <w:ind w:left="57"/>
              <w:rPr>
                <w:sz w:val="18"/>
              </w:rPr>
            </w:pPr>
            <w:r>
              <w:rPr>
                <w:sz w:val="18"/>
              </w:rPr>
              <w:t>plochy dopravní infrastruktury-silniční</w:t>
            </w:r>
          </w:p>
        </w:tc>
      </w:tr>
      <w:tr>
        <w:trPr>
          <w:trHeight w:val="316" w:hRule="atLeast"/>
        </w:trPr>
        <w:tc>
          <w:tcPr>
            <w:tcW w:w="886" w:type="dxa"/>
          </w:tcPr>
          <w:p>
            <w:pPr>
              <w:pStyle w:val="TableParagraph"/>
              <w:spacing w:before="54"/>
              <w:ind w:left="55"/>
              <w:rPr>
                <w:sz w:val="18"/>
              </w:rPr>
            </w:pPr>
            <w:r>
              <w:rPr>
                <w:w w:val="99"/>
                <w:sz w:val="18"/>
              </w:rPr>
              <w:t>G</w:t>
            </w:r>
          </w:p>
        </w:tc>
        <w:tc>
          <w:tcPr>
            <w:tcW w:w="8789" w:type="dxa"/>
          </w:tcPr>
          <w:p>
            <w:pPr>
              <w:pStyle w:val="TableParagraph"/>
              <w:spacing w:before="54"/>
              <w:ind w:left="57"/>
              <w:rPr>
                <w:sz w:val="18"/>
              </w:rPr>
            </w:pPr>
            <w:r>
              <w:rPr>
                <w:sz w:val="18"/>
              </w:rPr>
              <w:t>plochy dopravní infrastruktury-vybavení</w:t>
            </w:r>
          </w:p>
        </w:tc>
      </w:tr>
      <w:tr>
        <w:trPr>
          <w:trHeight w:val="316" w:hRule="atLeast"/>
        </w:trPr>
        <w:tc>
          <w:tcPr>
            <w:tcW w:w="886" w:type="dxa"/>
          </w:tcPr>
          <w:p>
            <w:pPr>
              <w:pStyle w:val="TableParagraph"/>
              <w:spacing w:before="54"/>
              <w:ind w:left="55"/>
              <w:rPr>
                <w:sz w:val="18"/>
              </w:rPr>
            </w:pPr>
            <w:r>
              <w:rPr>
                <w:w w:val="99"/>
                <w:sz w:val="18"/>
              </w:rPr>
              <w:t>D</w:t>
            </w:r>
          </w:p>
        </w:tc>
        <w:tc>
          <w:tcPr>
            <w:tcW w:w="8789" w:type="dxa"/>
          </w:tcPr>
          <w:p>
            <w:pPr>
              <w:pStyle w:val="TableParagraph"/>
              <w:spacing w:before="54"/>
              <w:ind w:left="57"/>
              <w:rPr>
                <w:sz w:val="18"/>
              </w:rPr>
            </w:pPr>
            <w:r>
              <w:rPr>
                <w:sz w:val="18"/>
              </w:rPr>
              <w:t>plochy dopravní infrastruktury-drážní</w:t>
            </w:r>
          </w:p>
        </w:tc>
      </w:tr>
      <w:tr>
        <w:trPr>
          <w:trHeight w:val="316" w:hRule="atLeast"/>
        </w:trPr>
        <w:tc>
          <w:tcPr>
            <w:tcW w:w="886" w:type="dxa"/>
          </w:tcPr>
          <w:p>
            <w:pPr>
              <w:pStyle w:val="TableParagraph"/>
              <w:spacing w:before="54"/>
              <w:ind w:left="55"/>
              <w:rPr>
                <w:sz w:val="18"/>
              </w:rPr>
            </w:pPr>
            <w:r>
              <w:rPr>
                <w:w w:val="99"/>
                <w:sz w:val="18"/>
              </w:rPr>
              <w:t>F</w:t>
            </w:r>
          </w:p>
        </w:tc>
        <w:tc>
          <w:tcPr>
            <w:tcW w:w="8789" w:type="dxa"/>
          </w:tcPr>
          <w:p>
            <w:pPr>
              <w:pStyle w:val="TableParagraph"/>
              <w:spacing w:before="54"/>
              <w:ind w:left="57"/>
              <w:rPr>
                <w:sz w:val="18"/>
              </w:rPr>
            </w:pPr>
            <w:r>
              <w:rPr>
                <w:sz w:val="18"/>
              </w:rPr>
              <w:t>plochy dopravní infrastruktury-letecké</w:t>
            </w:r>
          </w:p>
        </w:tc>
      </w:tr>
      <w:tr>
        <w:trPr>
          <w:trHeight w:val="318" w:hRule="atLeast"/>
        </w:trPr>
        <w:tc>
          <w:tcPr>
            <w:tcW w:w="886" w:type="dxa"/>
          </w:tcPr>
          <w:p>
            <w:pPr>
              <w:pStyle w:val="TableParagraph"/>
              <w:spacing w:before="54"/>
              <w:ind w:left="55"/>
              <w:rPr>
                <w:sz w:val="18"/>
              </w:rPr>
            </w:pPr>
            <w:r>
              <w:rPr>
                <w:w w:val="99"/>
                <w:sz w:val="18"/>
              </w:rPr>
              <w:t>P</w:t>
            </w:r>
          </w:p>
        </w:tc>
        <w:tc>
          <w:tcPr>
            <w:tcW w:w="8789" w:type="dxa"/>
          </w:tcPr>
          <w:p>
            <w:pPr>
              <w:pStyle w:val="TableParagraph"/>
              <w:spacing w:before="54"/>
              <w:ind w:left="56"/>
              <w:rPr>
                <w:sz w:val="18"/>
              </w:rPr>
            </w:pPr>
            <w:r>
              <w:rPr>
                <w:sz w:val="18"/>
              </w:rPr>
              <w:t>plochy veřejných prostranství</w:t>
            </w:r>
          </w:p>
        </w:tc>
      </w:tr>
    </w:tbl>
    <w:p>
      <w:pPr>
        <w:spacing w:before="115" w:after="4"/>
        <w:ind w:left="1024" w:right="0" w:firstLine="0"/>
        <w:jc w:val="both"/>
        <w:rPr>
          <w:b/>
          <w:sz w:val="22"/>
        </w:rPr>
      </w:pPr>
      <w:r>
        <w:rPr>
          <w:b/>
          <w:sz w:val="22"/>
        </w:rPr>
        <w:t>NEZASTAVĚNÉ PLOCHY, NEZASTAVITELNÉ PLOCHY (PLOCHY ZMĚN V KRAJINĚ)</w:t>
      </w: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6"/>
        <w:gridCol w:w="8798"/>
      </w:tblGrid>
      <w:tr>
        <w:trPr>
          <w:trHeight w:val="316" w:hRule="atLeast"/>
        </w:trPr>
        <w:tc>
          <w:tcPr>
            <w:tcW w:w="876" w:type="dxa"/>
            <w:shd w:val="clear" w:color="auto" w:fill="CCFFFF"/>
          </w:tcPr>
          <w:p>
            <w:pPr>
              <w:pStyle w:val="TableParagraph"/>
              <w:spacing w:before="49"/>
              <w:ind w:left="54"/>
              <w:rPr>
                <w:b/>
                <w:sz w:val="18"/>
              </w:rPr>
            </w:pPr>
            <w:r>
              <w:rPr>
                <w:b/>
                <w:sz w:val="18"/>
              </w:rPr>
              <w:t>kód</w:t>
            </w:r>
          </w:p>
        </w:tc>
        <w:tc>
          <w:tcPr>
            <w:tcW w:w="8798" w:type="dxa"/>
            <w:shd w:val="clear" w:color="auto" w:fill="CCFFFF"/>
          </w:tcPr>
          <w:p>
            <w:pPr>
              <w:pStyle w:val="TableParagraph"/>
              <w:spacing w:before="49"/>
              <w:ind w:left="54"/>
              <w:rPr>
                <w:b/>
                <w:sz w:val="18"/>
              </w:rPr>
            </w:pPr>
            <w:r>
              <w:rPr>
                <w:b/>
                <w:sz w:val="18"/>
              </w:rPr>
              <w:t>název</w:t>
            </w:r>
          </w:p>
        </w:tc>
      </w:tr>
      <w:tr>
        <w:trPr>
          <w:trHeight w:val="318" w:hRule="atLeast"/>
        </w:trPr>
        <w:tc>
          <w:tcPr>
            <w:tcW w:w="876" w:type="dxa"/>
          </w:tcPr>
          <w:p>
            <w:pPr>
              <w:pStyle w:val="TableParagraph"/>
              <w:spacing w:before="54"/>
              <w:ind w:left="54"/>
              <w:rPr>
                <w:sz w:val="18"/>
              </w:rPr>
            </w:pPr>
            <w:r>
              <w:rPr>
                <w:w w:val="99"/>
                <w:sz w:val="18"/>
              </w:rPr>
              <w:t>V</w:t>
            </w:r>
          </w:p>
        </w:tc>
        <w:tc>
          <w:tcPr>
            <w:tcW w:w="8798" w:type="dxa"/>
          </w:tcPr>
          <w:p>
            <w:pPr>
              <w:pStyle w:val="TableParagraph"/>
              <w:spacing w:before="54"/>
              <w:ind w:left="54"/>
              <w:rPr>
                <w:sz w:val="18"/>
              </w:rPr>
            </w:pPr>
            <w:r>
              <w:rPr>
                <w:sz w:val="18"/>
              </w:rPr>
              <w:t>plochy vodní a vodohospodářské</w:t>
            </w:r>
          </w:p>
        </w:tc>
      </w:tr>
      <w:tr>
        <w:trPr>
          <w:trHeight w:val="316" w:hRule="atLeast"/>
        </w:trPr>
        <w:tc>
          <w:tcPr>
            <w:tcW w:w="876" w:type="dxa"/>
          </w:tcPr>
          <w:p>
            <w:pPr>
              <w:pStyle w:val="TableParagraph"/>
              <w:spacing w:before="54"/>
              <w:ind w:left="54"/>
              <w:rPr>
                <w:sz w:val="18"/>
              </w:rPr>
            </w:pPr>
            <w:r>
              <w:rPr>
                <w:w w:val="99"/>
                <w:sz w:val="18"/>
              </w:rPr>
              <w:t>K</w:t>
            </w:r>
          </w:p>
        </w:tc>
        <w:tc>
          <w:tcPr>
            <w:tcW w:w="8798" w:type="dxa"/>
          </w:tcPr>
          <w:p>
            <w:pPr>
              <w:pStyle w:val="TableParagraph"/>
              <w:spacing w:before="54"/>
              <w:ind w:left="54"/>
              <w:rPr>
                <w:sz w:val="18"/>
              </w:rPr>
            </w:pPr>
            <w:r>
              <w:rPr>
                <w:sz w:val="18"/>
              </w:rPr>
              <w:t>plochy zemědělské</w:t>
            </w:r>
          </w:p>
        </w:tc>
      </w:tr>
      <w:tr>
        <w:trPr>
          <w:trHeight w:val="316" w:hRule="atLeast"/>
        </w:trPr>
        <w:tc>
          <w:tcPr>
            <w:tcW w:w="876" w:type="dxa"/>
          </w:tcPr>
          <w:p>
            <w:pPr>
              <w:pStyle w:val="TableParagraph"/>
              <w:spacing w:before="54"/>
              <w:ind w:left="54"/>
              <w:rPr>
                <w:sz w:val="18"/>
              </w:rPr>
            </w:pPr>
            <w:r>
              <w:rPr>
                <w:w w:val="99"/>
                <w:sz w:val="18"/>
              </w:rPr>
              <w:t>L</w:t>
            </w:r>
          </w:p>
        </w:tc>
        <w:tc>
          <w:tcPr>
            <w:tcW w:w="8798" w:type="dxa"/>
          </w:tcPr>
          <w:p>
            <w:pPr>
              <w:pStyle w:val="TableParagraph"/>
              <w:spacing w:before="54"/>
              <w:ind w:left="55"/>
              <w:rPr>
                <w:sz w:val="18"/>
              </w:rPr>
            </w:pPr>
            <w:r>
              <w:rPr>
                <w:sz w:val="18"/>
              </w:rPr>
              <w:t>plochy lesní</w:t>
            </w:r>
          </w:p>
        </w:tc>
      </w:tr>
      <w:tr>
        <w:trPr>
          <w:trHeight w:val="316" w:hRule="atLeast"/>
        </w:trPr>
        <w:tc>
          <w:tcPr>
            <w:tcW w:w="876" w:type="dxa"/>
          </w:tcPr>
          <w:p>
            <w:pPr>
              <w:pStyle w:val="TableParagraph"/>
              <w:spacing w:before="54"/>
              <w:ind w:left="54"/>
              <w:rPr>
                <w:sz w:val="18"/>
              </w:rPr>
            </w:pPr>
            <w:r>
              <w:rPr>
                <w:w w:val="99"/>
                <w:sz w:val="18"/>
              </w:rPr>
              <w:t>N</w:t>
            </w:r>
          </w:p>
        </w:tc>
        <w:tc>
          <w:tcPr>
            <w:tcW w:w="8798" w:type="dxa"/>
          </w:tcPr>
          <w:p>
            <w:pPr>
              <w:pStyle w:val="TableParagraph"/>
              <w:spacing w:before="54"/>
              <w:ind w:left="55"/>
              <w:rPr>
                <w:sz w:val="18"/>
              </w:rPr>
            </w:pPr>
            <w:r>
              <w:rPr>
                <w:sz w:val="18"/>
              </w:rPr>
              <w:t>plochy přírodní</w:t>
            </w:r>
          </w:p>
        </w:tc>
      </w:tr>
      <w:tr>
        <w:trPr>
          <w:trHeight w:val="318" w:hRule="atLeast"/>
        </w:trPr>
        <w:tc>
          <w:tcPr>
            <w:tcW w:w="876" w:type="dxa"/>
          </w:tcPr>
          <w:p>
            <w:pPr>
              <w:pStyle w:val="TableParagraph"/>
              <w:spacing w:before="54"/>
              <w:ind w:left="54"/>
              <w:rPr>
                <w:sz w:val="18"/>
              </w:rPr>
            </w:pPr>
            <w:r>
              <w:rPr>
                <w:w w:val="99"/>
                <w:sz w:val="18"/>
              </w:rPr>
              <w:t>Z</w:t>
            </w:r>
          </w:p>
        </w:tc>
        <w:tc>
          <w:tcPr>
            <w:tcW w:w="8798" w:type="dxa"/>
          </w:tcPr>
          <w:p>
            <w:pPr>
              <w:pStyle w:val="TableParagraph"/>
              <w:spacing w:before="54"/>
              <w:ind w:left="54"/>
              <w:rPr>
                <w:sz w:val="18"/>
              </w:rPr>
            </w:pPr>
            <w:r>
              <w:rPr>
                <w:sz w:val="18"/>
              </w:rPr>
              <w:t>plochy sídelní zeleně</w:t>
            </w:r>
          </w:p>
        </w:tc>
      </w:tr>
    </w:tbl>
    <w:p>
      <w:pPr>
        <w:pStyle w:val="ListParagraph"/>
        <w:numPr>
          <w:ilvl w:val="2"/>
          <w:numId w:val="11"/>
        </w:numPr>
        <w:tabs>
          <w:tab w:pos="1025" w:val="left" w:leader="none"/>
        </w:tabs>
        <w:spacing w:line="240" w:lineRule="auto" w:before="176" w:after="0"/>
        <w:ind w:left="1024" w:right="0" w:hanging="853"/>
        <w:jc w:val="both"/>
        <w:rPr>
          <w:b/>
          <w:sz w:val="26"/>
        </w:rPr>
      </w:pPr>
      <w:r>
        <w:rPr>
          <w:b/>
          <w:sz w:val="26"/>
        </w:rPr>
        <w:t>ROZLIŠENÍ PLOCH PODLE CHARAKTERU ZMĚN</w:t>
      </w:r>
      <w:r>
        <w:rPr>
          <w:b/>
          <w:spacing w:val="-2"/>
          <w:sz w:val="26"/>
        </w:rPr>
        <w:t> </w:t>
      </w:r>
      <w:r>
        <w:rPr>
          <w:b/>
          <w:sz w:val="26"/>
        </w:rPr>
        <w:t>VYUŽITÍ</w:t>
      </w:r>
    </w:p>
    <w:p>
      <w:pPr>
        <w:pStyle w:val="ListParagraph"/>
        <w:numPr>
          <w:ilvl w:val="0"/>
          <w:numId w:val="1"/>
        </w:numPr>
        <w:tabs>
          <w:tab w:pos="1024" w:val="left" w:leader="none"/>
          <w:tab w:pos="1025" w:val="left" w:leader="none"/>
        </w:tabs>
        <w:spacing w:line="240" w:lineRule="auto" w:before="118" w:after="0"/>
        <w:ind w:left="1024" w:right="0" w:hanging="853"/>
        <w:jc w:val="both"/>
        <w:rPr>
          <w:sz w:val="22"/>
        </w:rPr>
      </w:pPr>
      <w:r>
        <w:rPr>
          <w:sz w:val="22"/>
        </w:rPr>
        <w:t>Území města Chrastava se podle </w:t>
      </w:r>
      <w:r>
        <w:rPr>
          <w:b/>
          <w:sz w:val="22"/>
        </w:rPr>
        <w:t>časového rozlišení </w:t>
      </w:r>
      <w:r>
        <w:rPr>
          <w:sz w:val="22"/>
        </w:rPr>
        <w:t>dělí</w:t>
      </w:r>
      <w:r>
        <w:rPr>
          <w:spacing w:val="-9"/>
          <w:sz w:val="22"/>
        </w:rPr>
        <w:t> </w:t>
      </w:r>
      <w:r>
        <w:rPr>
          <w:sz w:val="22"/>
        </w:rPr>
        <w:t>na:</w:t>
      </w:r>
    </w:p>
    <w:p>
      <w:pPr>
        <w:pStyle w:val="BodyText"/>
        <w:tabs>
          <w:tab w:pos="1024" w:val="left" w:leader="none"/>
        </w:tabs>
        <w:spacing w:before="61"/>
        <w:ind w:right="146"/>
      </w:pPr>
      <w:r>
        <w:rPr>
          <w:rFonts w:ascii="Times New Roman" w:hAnsi="Times New Roman"/>
        </w:rPr>
        <w:t>-</w:t>
        <w:tab/>
      </w:r>
      <w:r>
        <w:rPr>
          <w:b/>
        </w:rPr>
        <w:t>plochy stabilizované </w:t>
      </w:r>
      <w:r>
        <w:rPr/>
        <w:t>- zastavěné i nezastavěné, na nichž ÚP Chrastava respektuje stávající stav využití</w:t>
      </w:r>
      <w:r>
        <w:rPr>
          <w:spacing w:val="-9"/>
        </w:rPr>
        <w:t> </w:t>
      </w:r>
      <w:r>
        <w:rPr/>
        <w:t>území,</w:t>
      </w:r>
    </w:p>
    <w:p>
      <w:pPr>
        <w:pStyle w:val="BodyText"/>
        <w:spacing w:before="59"/>
        <w:ind w:left="1591" w:right="145" w:hanging="567"/>
      </w:pPr>
      <w:r>
        <w:rPr>
          <w:rFonts w:ascii="Times New Roman" w:hAnsi="Times New Roman"/>
        </w:rPr>
        <w:t>- </w:t>
      </w:r>
      <w:r>
        <w:rPr/>
        <w:t>bude na nich zachován dosavadní charakter využití a případně umožněno další zastavění podle podmínek pro využití a uspořádání území,</w:t>
      </w:r>
    </w:p>
    <w:p>
      <w:pPr>
        <w:pStyle w:val="BodyText"/>
        <w:tabs>
          <w:tab w:pos="1024" w:val="left" w:leader="none"/>
        </w:tabs>
        <w:spacing w:line="242" w:lineRule="auto" w:before="58"/>
        <w:ind w:right="146"/>
      </w:pPr>
      <w:r>
        <w:rPr>
          <w:rFonts w:ascii="Times New Roman" w:hAnsi="Times New Roman"/>
        </w:rPr>
        <w:t>-</w:t>
        <w:tab/>
      </w:r>
      <w:r>
        <w:rPr>
          <w:b/>
        </w:rPr>
        <w:t>plochy změn - zastavitelné</w:t>
      </w:r>
      <w:r>
        <w:rPr/>
        <w:t>, které ÚP Chrastava vymezuje ke změně využití dosud nezastavěných ploch uvnitř i vně zastavěného území (též plochy</w:t>
      </w:r>
      <w:r>
        <w:rPr>
          <w:spacing w:val="-14"/>
        </w:rPr>
        <w:t> </w:t>
      </w:r>
      <w:r>
        <w:rPr/>
        <w:t>rozvojové),</w:t>
      </w:r>
    </w:p>
    <w:p>
      <w:pPr>
        <w:pStyle w:val="BodyText"/>
        <w:spacing w:before="56"/>
        <w:ind w:left="1591" w:right="147" w:hanging="567"/>
      </w:pPr>
      <w:r>
        <w:rPr>
          <w:rFonts w:ascii="Times New Roman" w:hAnsi="Times New Roman"/>
        </w:rPr>
        <w:t>- </w:t>
      </w:r>
      <w:r>
        <w:rPr/>
        <w:t>bude na nich umožněno změnit dosavadní charakter využití tak, aby mohlo být  dosaženo zastavění ploch podle nově stanovených podmínek pro využití a uspořádání území, případně upřesněné požadovanou územní</w:t>
      </w:r>
      <w:r>
        <w:rPr>
          <w:spacing w:val="-11"/>
        </w:rPr>
        <w:t> </w:t>
      </w:r>
      <w:r>
        <w:rPr/>
        <w:t>studií,</w:t>
      </w:r>
    </w:p>
    <w:p>
      <w:pPr>
        <w:pStyle w:val="BodyText"/>
        <w:tabs>
          <w:tab w:pos="1024" w:val="left" w:leader="none"/>
        </w:tabs>
        <w:spacing w:before="56"/>
        <w:ind w:right="147"/>
      </w:pPr>
      <w:r>
        <w:rPr>
          <w:rFonts w:ascii="Times New Roman" w:hAnsi="Times New Roman"/>
        </w:rPr>
        <w:t>-</w:t>
        <w:tab/>
      </w:r>
      <w:r>
        <w:rPr>
          <w:b/>
        </w:rPr>
        <w:t>plochy změn - přestavby</w:t>
      </w:r>
      <w:r>
        <w:rPr/>
        <w:t>, které ÚP Chrastava vymezuje ke změně využití znehodnocených zastavěných ploch převážně uvnitř zastavěného území (též plochy rozvojové),</w:t>
      </w:r>
    </w:p>
    <w:p>
      <w:pPr>
        <w:pStyle w:val="BodyText"/>
        <w:spacing w:before="64"/>
        <w:ind w:left="1591" w:right="146" w:hanging="567"/>
      </w:pPr>
      <w:r>
        <w:rPr>
          <w:rFonts w:ascii="Times New Roman" w:hAnsi="Times New Roman"/>
        </w:rPr>
        <w:t>- </w:t>
      </w:r>
      <w:r>
        <w:rPr/>
        <w:t>bude na nich s ohledem na narušení urbanistické struktury města umožněno změnit dosavadní charakter využití tak, aby mohlo být dosaženo zastavění ploch přestavby podle nově stanovených podmínek pro využití a uspořádání území, případně upřesněné požadovanou územní studií,</w:t>
      </w:r>
    </w:p>
    <w:p>
      <w:pPr>
        <w:spacing w:after="0"/>
        <w:sectPr>
          <w:pgSz w:w="11900" w:h="16840"/>
          <w:pgMar w:header="561" w:footer="582" w:top="760" w:bottom="780" w:left="960" w:right="980"/>
        </w:sectPr>
      </w:pPr>
    </w:p>
    <w:p>
      <w:pPr>
        <w:tabs>
          <w:tab w:pos="1024" w:val="left" w:leader="none"/>
        </w:tabs>
        <w:spacing w:before="78"/>
        <w:ind w:left="1024" w:right="146" w:hanging="852"/>
        <w:jc w:val="both"/>
        <w:rPr>
          <w:sz w:val="22"/>
        </w:rPr>
      </w:pPr>
      <w:r>
        <w:rPr>
          <w:rFonts w:ascii="Times New Roman" w:hAnsi="Times New Roman"/>
          <w:sz w:val="22"/>
        </w:rPr>
        <w:t>-</w:t>
        <w:tab/>
      </w:r>
      <w:r>
        <w:rPr>
          <w:b/>
          <w:sz w:val="22"/>
        </w:rPr>
        <w:t>plochy změn – nezastavitelné (plochy změn v krajině)</w:t>
      </w:r>
      <w:r>
        <w:rPr>
          <w:sz w:val="22"/>
        </w:rPr>
        <w:t>, které ÚP Chrastava vymezuje ke změně využití zastavěných i nezastavěných ploch uvnitř i vně zastavěného území (též plochy</w:t>
      </w:r>
      <w:r>
        <w:rPr>
          <w:spacing w:val="-3"/>
          <w:sz w:val="22"/>
        </w:rPr>
        <w:t> </w:t>
      </w:r>
      <w:r>
        <w:rPr>
          <w:sz w:val="22"/>
        </w:rPr>
        <w:t>rozvojové),</w:t>
      </w:r>
    </w:p>
    <w:p>
      <w:pPr>
        <w:pStyle w:val="BodyText"/>
        <w:spacing w:before="61"/>
        <w:ind w:left="1591" w:right="146" w:hanging="567"/>
      </w:pPr>
      <w:r>
        <w:rPr>
          <w:rFonts w:ascii="Times New Roman" w:hAnsi="Times New Roman"/>
        </w:rPr>
        <w:t>- </w:t>
      </w:r>
      <w:r>
        <w:rPr/>
        <w:t>bude na nich umožněno změnit dosavadní charakter využití tak, aby mohlo být  dosaženo využití nezastavitelných ploch podle nově stanovených podmínek pro využití a uspořádání území, případně upřesněné požadovanou územní</w:t>
      </w:r>
      <w:r>
        <w:rPr>
          <w:spacing w:val="-21"/>
        </w:rPr>
        <w:t> </w:t>
      </w:r>
      <w:r>
        <w:rPr/>
        <w:t>studií,</w:t>
      </w:r>
    </w:p>
    <w:p>
      <w:pPr>
        <w:pStyle w:val="BodyText"/>
        <w:tabs>
          <w:tab w:pos="1024" w:val="left" w:leader="none"/>
        </w:tabs>
        <w:spacing w:before="56"/>
        <w:ind w:right="145"/>
      </w:pPr>
      <w:r>
        <w:rPr>
          <w:rFonts w:ascii="Times New Roman" w:hAnsi="Times New Roman"/>
        </w:rPr>
        <w:t>-</w:t>
        <w:tab/>
      </w:r>
      <w:r>
        <w:rPr>
          <w:b/>
        </w:rPr>
        <w:t>Koridory územních rezerv, </w:t>
      </w:r>
      <w:r>
        <w:rPr/>
        <w:t>které ÚP Chrastava vymezuje v překryvu nad plochami stabilizovanými a plochami změn k zajištění územní ochrany těchto ploch pro prověření možnosti jejich budoucího využití stanoveného v územní</w:t>
      </w:r>
      <w:r>
        <w:rPr>
          <w:spacing w:val="-9"/>
        </w:rPr>
        <w:t> </w:t>
      </w:r>
      <w:r>
        <w:rPr/>
        <w:t>rezervě,</w:t>
      </w:r>
    </w:p>
    <w:p>
      <w:pPr>
        <w:pStyle w:val="BodyText"/>
        <w:spacing w:before="61"/>
        <w:ind w:left="1591" w:right="144" w:hanging="567"/>
      </w:pPr>
      <w:r>
        <w:rPr>
          <w:rFonts w:ascii="Times New Roman" w:hAnsi="Times New Roman"/>
        </w:rPr>
        <w:t>-  </w:t>
      </w:r>
      <w:r>
        <w:rPr/>
        <w:t>v rozsahu takto vymezených koridorů se využití ploch stabilizovaných a ploch změn  dále omezuje o takové stavby, zařízení, úpravy, kultury a činnosti, které by znemožnily nebo podstatně ztížily možnost jejich budoucího využití stanoveného v územní rezervě - možnost umisťování staveb pouze ve zvláště odůvodněném veřejném zájmu - např. technická a dopravní</w:t>
      </w:r>
      <w:r>
        <w:rPr>
          <w:spacing w:val="-11"/>
        </w:rPr>
        <w:t> </w:t>
      </w:r>
      <w:r>
        <w:rPr/>
        <w:t>infrastruktura.</w:t>
      </w:r>
    </w:p>
    <w:p>
      <w:pPr>
        <w:pStyle w:val="Heading2"/>
        <w:numPr>
          <w:ilvl w:val="2"/>
          <w:numId w:val="11"/>
        </w:numPr>
        <w:tabs>
          <w:tab w:pos="1025" w:val="left" w:leader="none"/>
        </w:tabs>
        <w:spacing w:line="240" w:lineRule="auto" w:before="177" w:after="0"/>
        <w:ind w:left="1024" w:right="0" w:hanging="853"/>
        <w:jc w:val="both"/>
      </w:pPr>
      <w:r>
        <w:rPr/>
        <w:t>ROZLIŠENÍ VYUŽITÍ PODLE</w:t>
      </w:r>
      <w:r>
        <w:rPr>
          <w:spacing w:val="2"/>
        </w:rPr>
        <w:t> </w:t>
      </w:r>
      <w:r>
        <w:rPr/>
        <w:t>PŘÍPUSTNOSTI</w:t>
      </w:r>
    </w:p>
    <w:p>
      <w:pPr>
        <w:pStyle w:val="ListParagraph"/>
        <w:numPr>
          <w:ilvl w:val="0"/>
          <w:numId w:val="1"/>
        </w:numPr>
        <w:tabs>
          <w:tab w:pos="1024" w:val="left" w:leader="none"/>
          <w:tab w:pos="1025" w:val="left" w:leader="none"/>
        </w:tabs>
        <w:spacing w:line="240" w:lineRule="auto" w:before="123" w:after="0"/>
        <w:ind w:left="1024" w:right="146" w:hanging="852"/>
        <w:jc w:val="both"/>
        <w:rPr>
          <w:sz w:val="22"/>
        </w:rPr>
      </w:pPr>
      <w:r>
        <w:rPr>
          <w:sz w:val="22"/>
        </w:rPr>
        <w:t>Činnosti, stavby, zařízení, úpravy a kultury se podle přípustnosti v jednotlivých plochách vymezují</w:t>
      </w:r>
      <w:r>
        <w:rPr>
          <w:spacing w:val="-4"/>
          <w:sz w:val="22"/>
        </w:rPr>
        <w:t> </w:t>
      </w:r>
      <w:r>
        <w:rPr>
          <w:sz w:val="22"/>
        </w:rPr>
        <w:t>jako:</w:t>
      </w:r>
    </w:p>
    <w:p>
      <w:pPr>
        <w:tabs>
          <w:tab w:pos="1024" w:val="left" w:leader="none"/>
        </w:tabs>
        <w:spacing w:before="58"/>
        <w:ind w:left="172" w:right="0" w:firstLine="0"/>
        <w:jc w:val="both"/>
        <w:rPr>
          <w:sz w:val="22"/>
        </w:rPr>
      </w:pPr>
      <w:r>
        <w:rPr>
          <w:rFonts w:ascii="Times New Roman" w:hAnsi="Times New Roman"/>
          <w:sz w:val="22"/>
        </w:rPr>
        <w:t>-</w:t>
        <w:tab/>
      </w:r>
      <w:r>
        <w:rPr>
          <w:b/>
          <w:sz w:val="22"/>
        </w:rPr>
        <w:t>hlavní využití </w:t>
      </w:r>
      <w:r>
        <w:rPr>
          <w:sz w:val="22"/>
        </w:rPr>
        <w:t>- definuje charakter dané</w:t>
      </w:r>
      <w:r>
        <w:rPr>
          <w:spacing w:val="-1"/>
          <w:sz w:val="22"/>
        </w:rPr>
        <w:t> </w:t>
      </w:r>
      <w:r>
        <w:rPr>
          <w:sz w:val="22"/>
        </w:rPr>
        <w:t>plochy,</w:t>
      </w:r>
    </w:p>
    <w:p>
      <w:pPr>
        <w:pStyle w:val="BodyText"/>
        <w:spacing w:before="60"/>
        <w:ind w:firstLine="0"/>
      </w:pPr>
      <w:r>
        <w:rPr>
          <w:rFonts w:ascii="Times New Roman" w:hAnsi="Times New Roman"/>
        </w:rPr>
        <w:t>- </w:t>
      </w:r>
      <w:r>
        <w:rPr/>
        <w:t>musí zaujímat vždy více než 50 % výměry dané plochy,</w:t>
      </w:r>
    </w:p>
    <w:p>
      <w:pPr>
        <w:pStyle w:val="BodyText"/>
        <w:tabs>
          <w:tab w:pos="1024" w:val="left" w:leader="none"/>
        </w:tabs>
        <w:spacing w:line="242" w:lineRule="auto" w:before="56"/>
        <w:ind w:right="143" w:hanging="852"/>
      </w:pPr>
      <w:r>
        <w:rPr>
          <w:rFonts w:ascii="Times New Roman" w:hAnsi="Times New Roman"/>
        </w:rPr>
        <w:t>-</w:t>
        <w:tab/>
      </w:r>
      <w:r>
        <w:rPr>
          <w:b/>
        </w:rPr>
        <w:t>přípustné využití </w:t>
      </w:r>
      <w:r>
        <w:rPr/>
        <w:t>- doplňuje charakter hlavního využití dané plochy, představuje další možnosti jejího</w:t>
      </w:r>
      <w:r>
        <w:rPr>
          <w:spacing w:val="-1"/>
        </w:rPr>
        <w:t> </w:t>
      </w:r>
      <w:r>
        <w:rPr/>
        <w:t>využití,</w:t>
      </w:r>
    </w:p>
    <w:p>
      <w:pPr>
        <w:pStyle w:val="BodyText"/>
        <w:spacing w:before="57"/>
        <w:ind w:firstLine="0"/>
      </w:pPr>
      <w:r>
        <w:rPr>
          <w:rFonts w:ascii="Times New Roman" w:hAnsi="Times New Roman"/>
        </w:rPr>
        <w:t>- </w:t>
      </w:r>
      <w:r>
        <w:rPr/>
        <w:t>jeho povolení váže na splnění podmínek obecně závazných předpisů,</w:t>
      </w:r>
    </w:p>
    <w:p>
      <w:pPr>
        <w:tabs>
          <w:tab w:pos="1024" w:val="left" w:leader="none"/>
        </w:tabs>
        <w:spacing w:before="58"/>
        <w:ind w:left="1024" w:right="147" w:hanging="852"/>
        <w:jc w:val="both"/>
        <w:rPr>
          <w:sz w:val="22"/>
        </w:rPr>
      </w:pPr>
      <w:r>
        <w:rPr>
          <w:rFonts w:ascii="Times New Roman" w:hAnsi="Times New Roman"/>
          <w:sz w:val="22"/>
        </w:rPr>
        <w:t>-</w:t>
        <w:tab/>
      </w:r>
      <w:r>
        <w:rPr>
          <w:b/>
          <w:sz w:val="22"/>
        </w:rPr>
        <w:t>podmíněně přípustné využití </w:t>
      </w:r>
      <w:r>
        <w:rPr>
          <w:sz w:val="22"/>
        </w:rPr>
        <w:t>- není v rozporu s hlavním využitím dané plochy, představuje její doplňkové</w:t>
      </w:r>
      <w:r>
        <w:rPr>
          <w:spacing w:val="-6"/>
          <w:sz w:val="22"/>
        </w:rPr>
        <w:t> </w:t>
      </w:r>
      <w:r>
        <w:rPr>
          <w:sz w:val="22"/>
        </w:rPr>
        <w:t>využití,</w:t>
      </w:r>
    </w:p>
    <w:p>
      <w:pPr>
        <w:pStyle w:val="BodyText"/>
        <w:tabs>
          <w:tab w:pos="1024" w:val="left" w:leader="none"/>
        </w:tabs>
        <w:spacing w:before="42"/>
        <w:ind w:right="144" w:hanging="852"/>
      </w:pPr>
      <w:r>
        <w:rPr>
          <w:rFonts w:ascii="Times New Roman" w:hAnsi="Times New Roman"/>
        </w:rPr>
        <w:t>-</w:t>
        <w:tab/>
      </w:r>
      <w:r>
        <w:rPr/>
        <w:t>jeho  povolení  je   kromě   specifických   podmínek   uvedených   pro   jednotlivé   plochy v tabulkách kapitoly „C.2 Návrh zastavitelných ploch, ploch přestavby a nezastavitelných ploch“ vázáno na prokázání přiměřenosti jeho dopadů ve vztahu k hlavnímu využití dané plochy z</w:t>
      </w:r>
      <w:r>
        <w:rPr>
          <w:spacing w:val="-5"/>
        </w:rPr>
        <w:t> </w:t>
      </w:r>
      <w:r>
        <w:rPr/>
        <w:t>hlediska:</w:t>
      </w:r>
    </w:p>
    <w:p>
      <w:pPr>
        <w:pStyle w:val="BodyText"/>
        <w:tabs>
          <w:tab w:pos="1591" w:val="left" w:leader="none"/>
        </w:tabs>
        <w:spacing w:line="250" w:lineRule="exact"/>
        <w:ind w:firstLine="0"/>
        <w:jc w:val="left"/>
      </w:pPr>
      <w:r>
        <w:rPr>
          <w:rFonts w:ascii="Times New Roman" w:hAnsi="Times New Roman"/>
        </w:rPr>
        <w:t>-</w:t>
        <w:tab/>
      </w:r>
      <w:r>
        <w:rPr/>
        <w:t>významu v širším</w:t>
      </w:r>
      <w:r>
        <w:rPr>
          <w:spacing w:val="-1"/>
        </w:rPr>
        <w:t> </w:t>
      </w:r>
      <w:r>
        <w:rPr/>
        <w:t>území,</w:t>
      </w:r>
    </w:p>
    <w:p>
      <w:pPr>
        <w:pStyle w:val="BodyText"/>
        <w:tabs>
          <w:tab w:pos="1591" w:val="left" w:leader="none"/>
        </w:tabs>
        <w:spacing w:line="253" w:lineRule="exact"/>
        <w:ind w:firstLine="0"/>
        <w:jc w:val="left"/>
      </w:pPr>
      <w:r>
        <w:rPr>
          <w:rFonts w:ascii="Times New Roman" w:hAnsi="Times New Roman"/>
        </w:rPr>
        <w:t>-</w:t>
        <w:tab/>
      </w:r>
      <w:r>
        <w:rPr/>
        <w:t>narušení kvality prostředí resp. pohody</w:t>
      </w:r>
      <w:r>
        <w:rPr>
          <w:spacing w:val="-9"/>
        </w:rPr>
        <w:t> </w:t>
      </w:r>
      <w:r>
        <w:rPr/>
        <w:t>bydlení</w:t>
      </w:r>
    </w:p>
    <w:p>
      <w:pPr>
        <w:pStyle w:val="BodyText"/>
        <w:tabs>
          <w:tab w:pos="1591" w:val="left" w:leader="none"/>
        </w:tabs>
        <w:spacing w:line="253" w:lineRule="exact" w:before="1"/>
        <w:ind w:firstLine="0"/>
        <w:jc w:val="left"/>
      </w:pPr>
      <w:r>
        <w:rPr>
          <w:rFonts w:ascii="Times New Roman" w:hAnsi="Times New Roman"/>
        </w:rPr>
        <w:t>-</w:t>
        <w:tab/>
      </w:r>
      <w:r>
        <w:rPr/>
        <w:t>charakteru a kapacity napojení na dopravní a technickou</w:t>
      </w:r>
      <w:r>
        <w:rPr>
          <w:spacing w:val="-18"/>
        </w:rPr>
        <w:t> </w:t>
      </w:r>
      <w:r>
        <w:rPr/>
        <w:t>infrastrukturu,</w:t>
      </w:r>
    </w:p>
    <w:p>
      <w:pPr>
        <w:pStyle w:val="BodyText"/>
        <w:tabs>
          <w:tab w:pos="1591" w:val="left" w:leader="none"/>
        </w:tabs>
        <w:spacing w:line="253" w:lineRule="exact"/>
        <w:ind w:firstLine="0"/>
        <w:jc w:val="left"/>
      </w:pPr>
      <w:r>
        <w:rPr>
          <w:rFonts w:ascii="Times New Roman" w:hAnsi="Times New Roman"/>
        </w:rPr>
        <w:t>-</w:t>
        <w:tab/>
      </w:r>
      <w:r>
        <w:rPr/>
        <w:t>vyvolaných omezení ve smyslu hygienických a dalších</w:t>
      </w:r>
      <w:r>
        <w:rPr>
          <w:spacing w:val="-9"/>
        </w:rPr>
        <w:t> </w:t>
      </w:r>
      <w:r>
        <w:rPr/>
        <w:t>předpisů,</w:t>
      </w:r>
    </w:p>
    <w:p>
      <w:pPr>
        <w:pStyle w:val="BodyText"/>
        <w:tabs>
          <w:tab w:pos="1024" w:val="left" w:leader="none"/>
        </w:tabs>
        <w:spacing w:before="56"/>
        <w:ind w:right="145"/>
      </w:pPr>
      <w:r>
        <w:rPr>
          <w:rFonts w:ascii="Times New Roman" w:hAnsi="Times New Roman"/>
        </w:rPr>
        <w:t>-</w:t>
        <w:tab/>
      </w:r>
      <w:r>
        <w:rPr>
          <w:b/>
        </w:rPr>
        <w:t>nepřípustné využití </w:t>
      </w:r>
      <w:r>
        <w:rPr/>
        <w:t>- nesouvisí nebo je v rozporu a mohlo by narušit stanovené využití dané plochy, neodpovídá místním podmínkám, není uvedeno ve využití hlavním, přípustném a podmíněně přípustném, kapacitou neodpovídá účelu a charakteru</w:t>
      </w:r>
      <w:r>
        <w:rPr>
          <w:spacing w:val="-27"/>
        </w:rPr>
        <w:t> </w:t>
      </w:r>
      <w:r>
        <w:rPr/>
        <w:t>plochy,</w:t>
      </w:r>
    </w:p>
    <w:p>
      <w:pPr>
        <w:pStyle w:val="BodyText"/>
        <w:spacing w:before="63"/>
        <w:ind w:left="1591" w:right="144" w:hanging="567"/>
      </w:pPr>
      <w:r>
        <w:rPr>
          <w:rFonts w:ascii="Times New Roman" w:hAnsi="Times New Roman"/>
        </w:rPr>
        <w:t>-       </w:t>
      </w:r>
      <w:r>
        <w:rPr/>
        <w:t>takové  využití  nesmí  být  v dané  ploše  povoleno  a  musí  být  podnikány  kroky    k zamezení jeho pokračování ve stabilizovaných plochách - nelze např. provádět stavební úpravy existujících staveb a</w:t>
      </w:r>
      <w:r>
        <w:rPr>
          <w:spacing w:val="-7"/>
        </w:rPr>
        <w:t> </w:t>
      </w:r>
      <w:r>
        <w:rPr/>
        <w:t>zařízení.</w:t>
      </w:r>
    </w:p>
    <w:p>
      <w:pPr>
        <w:pStyle w:val="ListParagraph"/>
        <w:numPr>
          <w:ilvl w:val="0"/>
          <w:numId w:val="1"/>
        </w:numPr>
        <w:tabs>
          <w:tab w:pos="1024" w:val="left" w:leader="none"/>
          <w:tab w:pos="1025" w:val="left" w:leader="none"/>
        </w:tabs>
        <w:spacing w:line="240" w:lineRule="auto" w:before="116" w:after="0"/>
        <w:ind w:left="1024" w:right="150" w:hanging="852"/>
        <w:jc w:val="both"/>
        <w:rPr>
          <w:b/>
          <w:sz w:val="22"/>
        </w:rPr>
      </w:pPr>
      <w:r>
        <w:rPr>
          <w:sz w:val="22"/>
        </w:rPr>
        <w:t>Stanovenému využití ploch musí odpovídat způsob jejich </w:t>
      </w:r>
      <w:r>
        <w:rPr>
          <w:b/>
          <w:sz w:val="22"/>
        </w:rPr>
        <w:t>užívání, umisťovaní staveb, zařízení, úprav, kultur a činností včetně jejich</w:t>
      </w:r>
      <w:r>
        <w:rPr>
          <w:b/>
          <w:spacing w:val="-5"/>
          <w:sz w:val="22"/>
        </w:rPr>
        <w:t> </w:t>
      </w:r>
      <w:r>
        <w:rPr>
          <w:b/>
          <w:sz w:val="22"/>
        </w:rPr>
        <w:t>změn,</w:t>
      </w:r>
    </w:p>
    <w:p>
      <w:pPr>
        <w:pStyle w:val="BodyText"/>
        <w:tabs>
          <w:tab w:pos="1024" w:val="left" w:leader="none"/>
        </w:tabs>
        <w:spacing w:before="44"/>
        <w:ind w:right="147" w:hanging="852"/>
      </w:pPr>
      <w:r>
        <w:rPr>
          <w:rFonts w:ascii="Times New Roman" w:hAnsi="Times New Roman"/>
        </w:rPr>
        <w:t>-</w:t>
        <w:tab/>
      </w:r>
      <w:r>
        <w:rPr/>
        <w:t>při jeho povolování musí být přihlédnuto i k místním podmínkám urbanistickým, ekologickým, hygienickým a</w:t>
      </w:r>
      <w:r>
        <w:rPr>
          <w:spacing w:val="-2"/>
        </w:rPr>
        <w:t> </w:t>
      </w:r>
      <w:r>
        <w:rPr/>
        <w:t>technickým.</w:t>
      </w:r>
    </w:p>
    <w:p>
      <w:pPr>
        <w:pStyle w:val="ListParagraph"/>
        <w:numPr>
          <w:ilvl w:val="0"/>
          <w:numId w:val="1"/>
        </w:numPr>
        <w:tabs>
          <w:tab w:pos="1024" w:val="left" w:leader="none"/>
          <w:tab w:pos="1025" w:val="left" w:leader="none"/>
        </w:tabs>
        <w:spacing w:line="242" w:lineRule="auto" w:before="114" w:after="0"/>
        <w:ind w:left="1024" w:right="146" w:hanging="852"/>
        <w:jc w:val="both"/>
        <w:rPr>
          <w:sz w:val="22"/>
        </w:rPr>
      </w:pPr>
      <w:r>
        <w:rPr>
          <w:sz w:val="22"/>
        </w:rPr>
        <w:t>Na plochách změn je přípustné </w:t>
      </w:r>
      <w:r>
        <w:rPr>
          <w:b/>
          <w:sz w:val="22"/>
        </w:rPr>
        <w:t>zachování stávajícího využití území </w:t>
      </w:r>
      <w:r>
        <w:rPr>
          <w:sz w:val="22"/>
        </w:rPr>
        <w:t>včetně údržby a oprav existujících staveb a zařízení do doby provedení změn jeho využití spojených obvykle s přestavbou, nástavbou, přístavbou,</w:t>
      </w:r>
      <w:r>
        <w:rPr>
          <w:spacing w:val="4"/>
          <w:sz w:val="22"/>
        </w:rPr>
        <w:t> </w:t>
      </w:r>
      <w:r>
        <w:rPr>
          <w:sz w:val="22"/>
        </w:rPr>
        <w:t>pokud:</w:t>
      </w:r>
    </w:p>
    <w:p>
      <w:pPr>
        <w:pStyle w:val="BodyText"/>
        <w:tabs>
          <w:tab w:pos="1024" w:val="left" w:leader="none"/>
        </w:tabs>
        <w:spacing w:before="35"/>
        <w:ind w:right="144" w:hanging="852"/>
      </w:pPr>
      <w:r>
        <w:rPr>
          <w:rFonts w:ascii="Times New Roman" w:hAnsi="Times New Roman"/>
        </w:rPr>
        <w:t>-</w:t>
        <w:tab/>
      </w:r>
      <w:r>
        <w:rPr/>
        <w:t>nedochází k potenciálnímu znehodnocení navrženého využití dané plochy a ploch navazujících ve smyslu hygienických a dalších podmínek a celkové funkční struktury města,</w:t>
      </w:r>
    </w:p>
    <w:p>
      <w:pPr>
        <w:pStyle w:val="BodyText"/>
        <w:tabs>
          <w:tab w:pos="1024" w:val="left" w:leader="none"/>
        </w:tabs>
        <w:ind w:right="147" w:hanging="852"/>
      </w:pPr>
      <w:r>
        <w:rPr>
          <w:rFonts w:ascii="Times New Roman" w:hAnsi="Times New Roman"/>
        </w:rPr>
        <w:t>-</w:t>
        <w:tab/>
      </w:r>
      <w:r>
        <w:rPr/>
        <w:t>nedochází k narušování celistvosti a funkčnosti nezastavitelných ploch, krajinného rázu, protierozní ochrany a odtokových</w:t>
      </w:r>
      <w:r>
        <w:rPr>
          <w:spacing w:val="-6"/>
        </w:rPr>
        <w:t> </w:t>
      </w:r>
      <w:r>
        <w:rPr/>
        <w:t>poměrů.</w:t>
      </w:r>
    </w:p>
    <w:p>
      <w:pPr>
        <w:spacing w:after="0"/>
        <w:sectPr>
          <w:pgSz w:w="11900" w:h="16840"/>
          <w:pgMar w:header="561" w:footer="582" w:top="760" w:bottom="780" w:left="960" w:right="980"/>
        </w:sectPr>
      </w:pPr>
    </w:p>
    <w:p>
      <w:pPr>
        <w:pStyle w:val="BodyText"/>
        <w:spacing w:before="10"/>
        <w:ind w:left="0" w:firstLine="0"/>
        <w:jc w:val="left"/>
        <w:rPr>
          <w:sz w:val="13"/>
        </w:rPr>
      </w:pPr>
    </w:p>
    <w:p>
      <w:pPr>
        <w:pStyle w:val="Heading2"/>
        <w:numPr>
          <w:ilvl w:val="2"/>
          <w:numId w:val="11"/>
        </w:numPr>
        <w:tabs>
          <w:tab w:pos="1024" w:val="left" w:leader="none"/>
          <w:tab w:pos="1025" w:val="left" w:leader="none"/>
        </w:tabs>
        <w:spacing w:line="240" w:lineRule="auto" w:before="99" w:after="0"/>
        <w:ind w:left="1024" w:right="0" w:hanging="853"/>
        <w:jc w:val="left"/>
      </w:pPr>
      <w:r>
        <w:rPr/>
        <w:t>PODMÍNKY PRO VYUŽITÍ PLOCH S ROZDÍLNÝM ZPŮSOBEM</w:t>
      </w:r>
      <w:r>
        <w:rPr>
          <w:spacing w:val="-9"/>
        </w:rPr>
        <w:t> </w:t>
      </w:r>
      <w:r>
        <w:rPr/>
        <w:t>VYUŽITÍ</w:t>
      </w:r>
    </w:p>
    <w:p>
      <w:pPr>
        <w:pStyle w:val="Heading3"/>
        <w:spacing w:before="118"/>
      </w:pPr>
      <w:r>
        <w:rPr/>
        <w:t>ZASTAVĚNÉ PLOCHY, ZASTAVITELNÉ PLOCHY, PLOCHY PŘESTAVBY</w:t>
      </w:r>
    </w:p>
    <w:p>
      <w:pPr>
        <w:pStyle w:val="BodyText"/>
        <w:ind w:left="0" w:firstLine="0"/>
        <w:jc w:val="left"/>
        <w:rPr>
          <w:b/>
          <w:sz w:val="11"/>
        </w:r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03"/>
        <w:gridCol w:w="5035"/>
      </w:tblGrid>
      <w:tr>
        <w:trPr>
          <w:trHeight w:val="309" w:hRule="atLeast"/>
        </w:trPr>
        <w:tc>
          <w:tcPr>
            <w:tcW w:w="4603" w:type="dxa"/>
            <w:shd w:val="clear" w:color="auto" w:fill="32CCCC"/>
          </w:tcPr>
          <w:p>
            <w:pPr>
              <w:pStyle w:val="TableParagraph"/>
              <w:spacing w:line="237" w:lineRule="exact" w:before="52"/>
              <w:rPr>
                <w:b/>
                <w:sz w:val="22"/>
              </w:rPr>
            </w:pPr>
            <w:r>
              <w:rPr>
                <w:b/>
                <w:sz w:val="22"/>
              </w:rPr>
              <w:t>PLOCHY BYDLENÍ</w:t>
            </w:r>
          </w:p>
        </w:tc>
        <w:tc>
          <w:tcPr>
            <w:tcW w:w="5035" w:type="dxa"/>
            <w:shd w:val="clear" w:color="auto" w:fill="32CCCC"/>
          </w:tcPr>
          <w:p>
            <w:pPr>
              <w:pStyle w:val="TableParagraph"/>
              <w:spacing w:line="237" w:lineRule="exact" w:before="52"/>
              <w:rPr>
                <w:b/>
                <w:sz w:val="22"/>
              </w:rPr>
            </w:pPr>
            <w:r>
              <w:rPr>
                <w:b/>
                <w:w w:val="100"/>
                <w:sz w:val="22"/>
              </w:rPr>
              <w:t>B</w:t>
            </w:r>
          </w:p>
        </w:tc>
      </w:tr>
      <w:tr>
        <w:trPr>
          <w:trHeight w:val="239" w:hRule="atLeast"/>
        </w:trPr>
        <w:tc>
          <w:tcPr>
            <w:tcW w:w="4603" w:type="dxa"/>
            <w:shd w:val="clear" w:color="auto" w:fill="CCFFFF"/>
          </w:tcPr>
          <w:p>
            <w:pPr>
              <w:pStyle w:val="TableParagraph"/>
              <w:spacing w:line="166" w:lineRule="exact" w:before="53"/>
              <w:rPr>
                <w:sz w:val="16"/>
              </w:rPr>
            </w:pPr>
            <w:r>
              <w:rPr>
                <w:sz w:val="16"/>
              </w:rPr>
              <w:t>pozemky pro stavby, zařízení, úpravy, kultury, činnosti</w:t>
            </w:r>
          </w:p>
        </w:tc>
        <w:tc>
          <w:tcPr>
            <w:tcW w:w="5035" w:type="dxa"/>
            <w:shd w:val="clear" w:color="auto" w:fill="CCFFFF"/>
          </w:tcPr>
          <w:p>
            <w:pPr>
              <w:pStyle w:val="TableParagraph"/>
              <w:ind w:left="0"/>
              <w:rPr>
                <w:rFonts w:ascii="Times New Roman"/>
                <w:sz w:val="16"/>
              </w:rPr>
            </w:pPr>
          </w:p>
        </w:tc>
      </w:tr>
      <w:tr>
        <w:trPr>
          <w:trHeight w:val="241" w:hRule="atLeast"/>
        </w:trPr>
        <w:tc>
          <w:tcPr>
            <w:tcW w:w="4603" w:type="dxa"/>
            <w:shd w:val="clear" w:color="auto" w:fill="CCFFFF"/>
          </w:tcPr>
          <w:p>
            <w:pPr>
              <w:pStyle w:val="TableParagraph"/>
              <w:spacing w:line="168" w:lineRule="exact" w:before="53"/>
              <w:rPr>
                <w:b/>
                <w:sz w:val="16"/>
              </w:rPr>
            </w:pPr>
            <w:r>
              <w:rPr>
                <w:b/>
                <w:sz w:val="16"/>
              </w:rPr>
              <w:t>HLAVNÍ VYUŽITÍ</w:t>
            </w:r>
          </w:p>
        </w:tc>
        <w:tc>
          <w:tcPr>
            <w:tcW w:w="5035" w:type="dxa"/>
            <w:shd w:val="clear" w:color="auto" w:fill="CCFFFF"/>
          </w:tcPr>
          <w:p>
            <w:pPr>
              <w:pStyle w:val="TableParagraph"/>
              <w:ind w:left="0"/>
              <w:rPr>
                <w:rFonts w:ascii="Times New Roman"/>
                <w:sz w:val="16"/>
              </w:rPr>
            </w:pPr>
          </w:p>
        </w:tc>
      </w:tr>
      <w:tr>
        <w:trPr>
          <w:trHeight w:val="241" w:hRule="atLeast"/>
        </w:trPr>
        <w:tc>
          <w:tcPr>
            <w:tcW w:w="4603" w:type="dxa"/>
          </w:tcPr>
          <w:p>
            <w:pPr>
              <w:pStyle w:val="TableParagraph"/>
              <w:spacing w:line="171" w:lineRule="exact" w:before="51"/>
              <w:rPr>
                <w:sz w:val="16"/>
              </w:rPr>
            </w:pPr>
            <w:r>
              <w:rPr>
                <w:b/>
                <w:sz w:val="16"/>
              </w:rPr>
              <w:t>trvalé bydlení </w:t>
            </w:r>
            <w:r>
              <w:rPr>
                <w:sz w:val="16"/>
              </w:rPr>
              <w:t>- rodinné domy, bytové domy</w:t>
            </w:r>
          </w:p>
        </w:tc>
        <w:tc>
          <w:tcPr>
            <w:tcW w:w="5035" w:type="dxa"/>
          </w:tcPr>
          <w:p>
            <w:pPr>
              <w:pStyle w:val="TableParagraph"/>
              <w:ind w:left="0"/>
              <w:rPr>
                <w:rFonts w:ascii="Times New Roman"/>
                <w:sz w:val="16"/>
              </w:rPr>
            </w:pPr>
          </w:p>
        </w:tc>
      </w:tr>
      <w:tr>
        <w:trPr>
          <w:trHeight w:val="239" w:hRule="atLeast"/>
        </w:trPr>
        <w:tc>
          <w:tcPr>
            <w:tcW w:w="4603" w:type="dxa"/>
          </w:tcPr>
          <w:p>
            <w:pPr>
              <w:pStyle w:val="TableParagraph"/>
              <w:spacing w:line="168" w:lineRule="exact" w:before="51"/>
              <w:rPr>
                <w:sz w:val="16"/>
              </w:rPr>
            </w:pPr>
            <w:r>
              <w:rPr>
                <w:b/>
                <w:sz w:val="16"/>
              </w:rPr>
              <w:t>smíšené funkce </w:t>
            </w:r>
            <w:r>
              <w:rPr>
                <w:sz w:val="16"/>
              </w:rPr>
              <w:t>- domy smíšené funkce</w:t>
            </w:r>
          </w:p>
        </w:tc>
        <w:tc>
          <w:tcPr>
            <w:tcW w:w="5035" w:type="dxa"/>
          </w:tcPr>
          <w:p>
            <w:pPr>
              <w:pStyle w:val="TableParagraph"/>
              <w:ind w:left="0"/>
              <w:rPr>
                <w:rFonts w:ascii="Times New Roman"/>
                <w:sz w:val="16"/>
              </w:rPr>
            </w:pPr>
          </w:p>
        </w:tc>
      </w:tr>
      <w:tr>
        <w:trPr>
          <w:trHeight w:val="241" w:hRule="atLeast"/>
        </w:trPr>
        <w:tc>
          <w:tcPr>
            <w:tcW w:w="4603" w:type="dxa"/>
            <w:shd w:val="clear" w:color="auto" w:fill="CCFFFF"/>
          </w:tcPr>
          <w:p>
            <w:pPr>
              <w:pStyle w:val="TableParagraph"/>
              <w:spacing w:line="171" w:lineRule="exact" w:before="51"/>
              <w:rPr>
                <w:b/>
                <w:sz w:val="16"/>
              </w:rPr>
            </w:pPr>
            <w:r>
              <w:rPr>
                <w:b/>
                <w:sz w:val="16"/>
              </w:rPr>
              <w:t>PŘÍPUSTNÉ VYUŽITÍ</w:t>
            </w:r>
          </w:p>
        </w:tc>
        <w:tc>
          <w:tcPr>
            <w:tcW w:w="5035" w:type="dxa"/>
            <w:shd w:val="clear" w:color="auto" w:fill="CCFFFF"/>
          </w:tcPr>
          <w:p>
            <w:pPr>
              <w:pStyle w:val="TableParagraph"/>
              <w:ind w:left="0"/>
              <w:rPr>
                <w:rFonts w:ascii="Times New Roman"/>
                <w:sz w:val="16"/>
              </w:rPr>
            </w:pPr>
          </w:p>
        </w:tc>
      </w:tr>
      <w:tr>
        <w:trPr>
          <w:trHeight w:val="424" w:hRule="atLeast"/>
        </w:trPr>
        <w:tc>
          <w:tcPr>
            <w:tcW w:w="4603" w:type="dxa"/>
          </w:tcPr>
          <w:p>
            <w:pPr>
              <w:pStyle w:val="TableParagraph"/>
              <w:spacing w:line="180" w:lineRule="atLeast" w:before="51"/>
              <w:ind w:right="371"/>
              <w:rPr>
                <w:sz w:val="16"/>
              </w:rPr>
            </w:pPr>
            <w:r>
              <w:rPr>
                <w:b/>
                <w:sz w:val="16"/>
              </w:rPr>
              <w:t>specifické bydlení </w:t>
            </w:r>
            <w:r>
              <w:rPr>
                <w:sz w:val="16"/>
              </w:rPr>
              <w:t>- zejména domovy důchodců, domy s pečovatelskou službou, hospice</w:t>
            </w:r>
          </w:p>
        </w:tc>
        <w:tc>
          <w:tcPr>
            <w:tcW w:w="5035" w:type="dxa"/>
          </w:tcPr>
          <w:p>
            <w:pPr>
              <w:pStyle w:val="TableParagraph"/>
              <w:ind w:left="0"/>
              <w:rPr>
                <w:rFonts w:ascii="Times New Roman"/>
                <w:sz w:val="16"/>
              </w:rPr>
            </w:pPr>
          </w:p>
        </w:tc>
      </w:tr>
      <w:tr>
        <w:trPr>
          <w:trHeight w:val="241" w:hRule="atLeast"/>
        </w:trPr>
        <w:tc>
          <w:tcPr>
            <w:tcW w:w="4603" w:type="dxa"/>
            <w:tcBorders>
              <w:bottom w:val="single" w:sz="2" w:space="0" w:color="000000"/>
            </w:tcBorders>
          </w:tcPr>
          <w:p>
            <w:pPr>
              <w:pStyle w:val="TableParagraph"/>
              <w:spacing w:line="171" w:lineRule="exact" w:before="51"/>
              <w:rPr>
                <w:sz w:val="16"/>
              </w:rPr>
            </w:pPr>
            <w:r>
              <w:rPr>
                <w:b/>
                <w:sz w:val="16"/>
              </w:rPr>
              <w:t>ubytování </w:t>
            </w:r>
            <w:r>
              <w:rPr>
                <w:sz w:val="16"/>
              </w:rPr>
              <w:t>- zejména koleje, ubytovny, hotely, penziony</w:t>
            </w:r>
          </w:p>
        </w:tc>
        <w:tc>
          <w:tcPr>
            <w:tcW w:w="5035" w:type="dxa"/>
          </w:tcPr>
          <w:p>
            <w:pPr>
              <w:pStyle w:val="TableParagraph"/>
              <w:ind w:left="0"/>
              <w:rPr>
                <w:rFonts w:ascii="Times New Roman"/>
                <w:sz w:val="16"/>
              </w:rPr>
            </w:pPr>
          </w:p>
        </w:tc>
      </w:tr>
      <w:tr>
        <w:trPr>
          <w:trHeight w:val="1386" w:hRule="atLeast"/>
        </w:trPr>
        <w:tc>
          <w:tcPr>
            <w:tcW w:w="4603" w:type="dxa"/>
            <w:vMerge w:val="restart"/>
            <w:tcBorders>
              <w:top w:val="single" w:sz="2" w:space="0" w:color="000000"/>
            </w:tcBorders>
            <w:shd w:val="clear" w:color="auto" w:fill="CCFFFF"/>
          </w:tcPr>
          <w:p>
            <w:pPr>
              <w:pStyle w:val="TableParagraph"/>
              <w:spacing w:before="51"/>
              <w:rPr>
                <w:b/>
                <w:sz w:val="16"/>
              </w:rPr>
            </w:pPr>
            <w:r>
              <w:rPr>
                <w:b/>
                <w:sz w:val="16"/>
              </w:rPr>
              <w:t>PODMÍNĚNĚ PŘÍPUSTNÉ VYUŽITÍ</w:t>
            </w:r>
          </w:p>
        </w:tc>
        <w:tc>
          <w:tcPr>
            <w:tcW w:w="5035" w:type="dxa"/>
            <w:shd w:val="clear" w:color="auto" w:fill="CCFFFF"/>
          </w:tcPr>
          <w:p>
            <w:pPr>
              <w:pStyle w:val="TableParagraph"/>
              <w:spacing w:before="51"/>
              <w:ind w:right="260"/>
              <w:rPr>
                <w:sz w:val="16"/>
              </w:rPr>
            </w:pPr>
            <w:r>
              <w:rPr>
                <w:b/>
                <w:sz w:val="16"/>
              </w:rPr>
              <w:t>obecné podmínky: </w:t>
            </w:r>
            <w:r>
              <w:rPr>
                <w:sz w:val="16"/>
              </w:rPr>
              <w:t>prokázat přiměřenost jeho dopadů ve vztahu k hlavnímu a přípustnému využití z hlediska:</w:t>
            </w:r>
          </w:p>
          <w:p>
            <w:pPr>
              <w:pStyle w:val="TableParagraph"/>
              <w:spacing w:before="59"/>
              <w:rPr>
                <w:sz w:val="16"/>
              </w:rPr>
            </w:pPr>
            <w:r>
              <w:rPr>
                <w:sz w:val="16"/>
              </w:rPr>
              <w:t>významu v širším území</w:t>
            </w:r>
          </w:p>
          <w:p>
            <w:pPr>
              <w:pStyle w:val="TableParagraph"/>
              <w:spacing w:line="316" w:lineRule="auto" w:before="56"/>
              <w:ind w:right="1496"/>
              <w:rPr>
                <w:sz w:val="16"/>
              </w:rPr>
            </w:pPr>
            <w:r>
              <w:rPr>
                <w:sz w:val="16"/>
              </w:rPr>
              <w:t>narušení kvality prostředí resp. pohody bydlení charakteru a kapacity napojení na infrastrukturu</w:t>
            </w:r>
          </w:p>
          <w:p>
            <w:pPr>
              <w:pStyle w:val="TableParagraph"/>
              <w:spacing w:line="163" w:lineRule="exact"/>
              <w:rPr>
                <w:sz w:val="16"/>
              </w:rPr>
            </w:pPr>
            <w:r>
              <w:rPr>
                <w:sz w:val="16"/>
              </w:rPr>
              <w:t>vyvolaných omezení ve smyslu hygienických a dalších předpisů</w:t>
            </w:r>
          </w:p>
        </w:tc>
      </w:tr>
      <w:tr>
        <w:trPr>
          <w:trHeight w:val="241" w:hRule="atLeast"/>
        </w:trPr>
        <w:tc>
          <w:tcPr>
            <w:tcW w:w="4603" w:type="dxa"/>
            <w:vMerge/>
            <w:tcBorders>
              <w:top w:val="nil"/>
            </w:tcBorders>
            <w:shd w:val="clear" w:color="auto" w:fill="CCFFFF"/>
          </w:tcPr>
          <w:p>
            <w:pPr>
              <w:rPr>
                <w:sz w:val="2"/>
                <w:szCs w:val="2"/>
              </w:rPr>
            </w:pPr>
          </w:p>
        </w:tc>
        <w:tc>
          <w:tcPr>
            <w:tcW w:w="5035" w:type="dxa"/>
            <w:shd w:val="clear" w:color="auto" w:fill="CCFFFF"/>
          </w:tcPr>
          <w:p>
            <w:pPr>
              <w:pStyle w:val="TableParagraph"/>
              <w:spacing w:line="168" w:lineRule="exact" w:before="53"/>
              <w:rPr>
                <w:b/>
                <w:sz w:val="16"/>
              </w:rPr>
            </w:pPr>
            <w:r>
              <w:rPr>
                <w:b/>
                <w:sz w:val="16"/>
              </w:rPr>
              <w:t>specifické podmínky:</w:t>
            </w:r>
          </w:p>
        </w:tc>
      </w:tr>
      <w:tr>
        <w:trPr>
          <w:trHeight w:val="849" w:hRule="atLeast"/>
        </w:trPr>
        <w:tc>
          <w:tcPr>
            <w:tcW w:w="4603" w:type="dxa"/>
          </w:tcPr>
          <w:p>
            <w:pPr>
              <w:pStyle w:val="TableParagraph"/>
              <w:spacing w:before="51"/>
              <w:ind w:left="155"/>
              <w:rPr>
                <w:sz w:val="16"/>
              </w:rPr>
            </w:pPr>
            <w:r>
              <w:rPr>
                <w:b/>
                <w:sz w:val="16"/>
              </w:rPr>
              <w:t>rodinná rekreace </w:t>
            </w:r>
            <w:r>
              <w:rPr>
                <w:sz w:val="16"/>
              </w:rPr>
              <w:t>- stavby pro rodinnou rekreaci</w:t>
            </w:r>
          </w:p>
        </w:tc>
        <w:tc>
          <w:tcPr>
            <w:tcW w:w="5035" w:type="dxa"/>
          </w:tcPr>
          <w:p>
            <w:pPr>
              <w:pStyle w:val="TableParagraph"/>
              <w:spacing w:before="53"/>
              <w:rPr>
                <w:sz w:val="16"/>
              </w:rPr>
            </w:pPr>
            <w:r>
              <w:rPr>
                <w:sz w:val="16"/>
              </w:rPr>
              <w:t>sousedí s plochami sídelní zeleně resp. volnou krajinou</w:t>
            </w:r>
          </w:p>
          <w:p>
            <w:pPr>
              <w:pStyle w:val="TableParagraph"/>
              <w:spacing w:before="59"/>
              <w:ind w:right="102"/>
              <w:rPr>
                <w:sz w:val="16"/>
              </w:rPr>
            </w:pPr>
            <w:r>
              <w:rPr>
                <w:sz w:val="16"/>
              </w:rPr>
              <w:t>umisťování nových a zhodnocování stávajících staveb pro rodinnou rekreaci je možné, pokud budou připojeny na veřejnou dopravní a</w:t>
            </w:r>
          </w:p>
          <w:p>
            <w:pPr>
              <w:pStyle w:val="TableParagraph"/>
              <w:spacing w:line="165" w:lineRule="exact"/>
              <w:rPr>
                <w:sz w:val="16"/>
              </w:rPr>
            </w:pPr>
            <w:r>
              <w:rPr>
                <w:sz w:val="16"/>
              </w:rPr>
              <w:t>technickou infrastrukturu odpovídající funkci trvalého bydlení</w:t>
            </w:r>
          </w:p>
        </w:tc>
      </w:tr>
      <w:tr>
        <w:trPr>
          <w:trHeight w:val="609" w:hRule="atLeast"/>
        </w:trPr>
        <w:tc>
          <w:tcPr>
            <w:tcW w:w="4603" w:type="dxa"/>
          </w:tcPr>
          <w:p>
            <w:pPr>
              <w:pStyle w:val="TableParagraph"/>
              <w:spacing w:line="180" w:lineRule="atLeast" w:before="53"/>
              <w:ind w:left="155" w:right="149"/>
              <w:rPr>
                <w:sz w:val="16"/>
              </w:rPr>
            </w:pPr>
            <w:r>
              <w:rPr>
                <w:b/>
                <w:sz w:val="16"/>
              </w:rPr>
              <w:t>občanské vybavení </w:t>
            </w:r>
            <w:r>
              <w:rPr>
                <w:sz w:val="16"/>
              </w:rPr>
              <w:t>- zejména předškolní a školní výchova, kultura, sport, sociální a zdravotní služby, komerční služby, stravování, veřejná správa, bezpečnost</w:t>
            </w:r>
          </w:p>
        </w:tc>
        <w:tc>
          <w:tcPr>
            <w:tcW w:w="5035" w:type="dxa"/>
          </w:tcPr>
          <w:p>
            <w:pPr>
              <w:pStyle w:val="TableParagraph"/>
              <w:spacing w:before="58"/>
              <w:rPr>
                <w:sz w:val="16"/>
              </w:rPr>
            </w:pPr>
            <w:r>
              <w:rPr>
                <w:sz w:val="16"/>
              </w:rPr>
              <w:t>max. velikost pozemku 4 000 m</w:t>
            </w:r>
            <w:r>
              <w:rPr>
                <w:sz w:val="16"/>
                <w:vertAlign w:val="superscript"/>
              </w:rPr>
              <w:t>2</w:t>
            </w:r>
          </w:p>
        </w:tc>
      </w:tr>
      <w:tr>
        <w:trPr>
          <w:trHeight w:val="244" w:hRule="atLeast"/>
        </w:trPr>
        <w:tc>
          <w:tcPr>
            <w:tcW w:w="4603" w:type="dxa"/>
          </w:tcPr>
          <w:p>
            <w:pPr>
              <w:pStyle w:val="TableParagraph"/>
              <w:spacing w:line="173" w:lineRule="exact" w:before="51"/>
              <w:ind w:left="155"/>
              <w:rPr>
                <w:sz w:val="16"/>
              </w:rPr>
            </w:pPr>
            <w:r>
              <w:rPr>
                <w:b/>
                <w:sz w:val="16"/>
              </w:rPr>
              <w:t>občanské vybavení </w:t>
            </w:r>
            <w:r>
              <w:rPr>
                <w:sz w:val="16"/>
              </w:rPr>
              <w:t>- obchodní prodej</w:t>
            </w:r>
          </w:p>
        </w:tc>
        <w:tc>
          <w:tcPr>
            <w:tcW w:w="5035" w:type="dxa"/>
          </w:tcPr>
          <w:p>
            <w:pPr>
              <w:pStyle w:val="TableParagraph"/>
              <w:spacing w:line="168" w:lineRule="exact" w:before="56"/>
              <w:rPr>
                <w:sz w:val="16"/>
              </w:rPr>
            </w:pPr>
            <w:r>
              <w:rPr>
                <w:sz w:val="16"/>
              </w:rPr>
              <w:t>max. velikost pozemku 1 000 m</w:t>
            </w:r>
            <w:r>
              <w:rPr>
                <w:sz w:val="16"/>
                <w:vertAlign w:val="superscript"/>
              </w:rPr>
              <w:t>2</w:t>
            </w:r>
          </w:p>
        </w:tc>
      </w:tr>
      <w:tr>
        <w:trPr>
          <w:trHeight w:val="611" w:hRule="atLeast"/>
        </w:trPr>
        <w:tc>
          <w:tcPr>
            <w:tcW w:w="4603" w:type="dxa"/>
          </w:tcPr>
          <w:p>
            <w:pPr>
              <w:pStyle w:val="TableParagraph"/>
              <w:spacing w:before="53"/>
              <w:rPr>
                <w:sz w:val="16"/>
              </w:rPr>
            </w:pPr>
            <w:r>
              <w:rPr>
                <w:b/>
                <w:sz w:val="16"/>
              </w:rPr>
              <w:t>výroba </w:t>
            </w:r>
            <w:r>
              <w:rPr>
                <w:sz w:val="16"/>
              </w:rPr>
              <w:t>- zejména nerušící výroba, řemeslná výroba, sklady,</w:t>
            </w:r>
          </w:p>
          <w:p>
            <w:pPr>
              <w:pStyle w:val="TableParagraph"/>
              <w:spacing w:line="180" w:lineRule="atLeast" w:before="4"/>
              <w:ind w:right="682"/>
              <w:rPr>
                <w:sz w:val="16"/>
              </w:rPr>
            </w:pPr>
            <w:r>
              <w:rPr>
                <w:sz w:val="16"/>
              </w:rPr>
              <w:t>opravny, zemědělské a lesnické služby, zahradnictví, komerční administrativa</w:t>
            </w:r>
          </w:p>
        </w:tc>
        <w:tc>
          <w:tcPr>
            <w:tcW w:w="5035" w:type="dxa"/>
          </w:tcPr>
          <w:p>
            <w:pPr>
              <w:pStyle w:val="TableParagraph"/>
              <w:spacing w:before="56"/>
              <w:rPr>
                <w:sz w:val="16"/>
              </w:rPr>
            </w:pPr>
            <w:r>
              <w:rPr>
                <w:sz w:val="16"/>
              </w:rPr>
              <w:t>max. velikost pozemku 2 000 m</w:t>
            </w:r>
            <w:r>
              <w:rPr>
                <w:sz w:val="16"/>
                <w:vertAlign w:val="superscript"/>
              </w:rPr>
              <w:t>2</w:t>
            </w:r>
          </w:p>
        </w:tc>
      </w:tr>
      <w:tr>
        <w:trPr>
          <w:trHeight w:val="448" w:hRule="atLeast"/>
        </w:trPr>
        <w:tc>
          <w:tcPr>
            <w:tcW w:w="4603" w:type="dxa"/>
          </w:tcPr>
          <w:p>
            <w:pPr>
              <w:pStyle w:val="TableParagraph"/>
              <w:spacing w:before="53"/>
              <w:rPr>
                <w:sz w:val="16"/>
              </w:rPr>
            </w:pPr>
            <w:r>
              <w:rPr>
                <w:b/>
                <w:sz w:val="16"/>
              </w:rPr>
              <w:t>zemědělská výroba </w:t>
            </w:r>
            <w:r>
              <w:rPr>
                <w:sz w:val="16"/>
              </w:rPr>
              <w:t>- rodinné farmy, chlévy, stodoly</w:t>
            </w:r>
          </w:p>
        </w:tc>
        <w:tc>
          <w:tcPr>
            <w:tcW w:w="5035" w:type="dxa"/>
          </w:tcPr>
          <w:p>
            <w:pPr>
              <w:pStyle w:val="TableParagraph"/>
              <w:spacing w:line="200" w:lineRule="atLeast" w:before="40"/>
              <w:ind w:right="2448"/>
              <w:rPr>
                <w:sz w:val="16"/>
              </w:rPr>
            </w:pPr>
            <w:r>
              <w:rPr>
                <w:sz w:val="16"/>
              </w:rPr>
              <w:t>sousedí s plochami zemědělskými max. velikost pozemku 2 000 m</w:t>
            </w:r>
            <w:r>
              <w:rPr>
                <w:sz w:val="16"/>
                <w:vertAlign w:val="superscript"/>
              </w:rPr>
              <w:t>2</w:t>
            </w:r>
          </w:p>
        </w:tc>
      </w:tr>
      <w:tr>
        <w:trPr>
          <w:trHeight w:val="429" w:hRule="atLeast"/>
        </w:trPr>
        <w:tc>
          <w:tcPr>
            <w:tcW w:w="4603" w:type="dxa"/>
          </w:tcPr>
          <w:p>
            <w:pPr>
              <w:pStyle w:val="TableParagraph"/>
              <w:spacing w:line="180" w:lineRule="atLeast" w:before="53"/>
              <w:rPr>
                <w:b/>
                <w:sz w:val="16"/>
              </w:rPr>
            </w:pPr>
            <w:r>
              <w:rPr>
                <w:b/>
                <w:sz w:val="16"/>
              </w:rPr>
              <w:t>liniové stavby technické infrastruktury nadřazených systémů</w:t>
            </w:r>
          </w:p>
        </w:tc>
        <w:tc>
          <w:tcPr>
            <w:tcW w:w="5035" w:type="dxa"/>
          </w:tcPr>
          <w:p>
            <w:pPr>
              <w:pStyle w:val="TableParagraph"/>
              <w:spacing w:before="109"/>
              <w:rPr>
                <w:sz w:val="16"/>
              </w:rPr>
            </w:pPr>
            <w:r>
              <w:rPr>
                <w:sz w:val="16"/>
              </w:rPr>
              <w:t>souvisí bezprostředně s provozem města</w:t>
            </w:r>
          </w:p>
        </w:tc>
      </w:tr>
      <w:tr>
        <w:trPr>
          <w:trHeight w:val="426" w:hRule="atLeast"/>
        </w:trPr>
        <w:tc>
          <w:tcPr>
            <w:tcW w:w="4603" w:type="dxa"/>
          </w:tcPr>
          <w:p>
            <w:pPr>
              <w:pStyle w:val="TableParagraph"/>
              <w:spacing w:line="182" w:lineRule="exact" w:before="58"/>
              <w:ind w:right="576"/>
              <w:rPr>
                <w:b/>
                <w:sz w:val="16"/>
              </w:rPr>
            </w:pPr>
            <w:r>
              <w:rPr>
                <w:b/>
                <w:sz w:val="16"/>
              </w:rPr>
              <w:t>plošně nenáročná zařízení technické infrastruktury nadřazených systémů</w:t>
            </w:r>
          </w:p>
        </w:tc>
        <w:tc>
          <w:tcPr>
            <w:tcW w:w="5035" w:type="dxa"/>
          </w:tcPr>
          <w:p>
            <w:pPr>
              <w:pStyle w:val="TableParagraph"/>
              <w:spacing w:before="15"/>
              <w:rPr>
                <w:sz w:val="16"/>
              </w:rPr>
            </w:pPr>
            <w:r>
              <w:rPr>
                <w:sz w:val="16"/>
              </w:rPr>
              <w:t>plocha nepřesáhne 600 m</w:t>
            </w:r>
            <w:r>
              <w:rPr>
                <w:sz w:val="16"/>
                <w:vertAlign w:val="superscript"/>
              </w:rPr>
              <w:t>2</w:t>
            </w:r>
          </w:p>
          <w:p>
            <w:pPr>
              <w:pStyle w:val="TableParagraph"/>
              <w:spacing w:before="20"/>
              <w:rPr>
                <w:sz w:val="16"/>
              </w:rPr>
            </w:pPr>
            <w:r>
              <w:rPr>
                <w:sz w:val="16"/>
              </w:rPr>
              <w:t>souvisí bezprostředně s provozem města</w:t>
            </w:r>
          </w:p>
        </w:tc>
      </w:tr>
      <w:tr>
        <w:trPr>
          <w:trHeight w:val="5099" w:hRule="atLeast"/>
        </w:trPr>
        <w:tc>
          <w:tcPr>
            <w:tcW w:w="4603" w:type="dxa"/>
          </w:tcPr>
          <w:p>
            <w:pPr>
              <w:pStyle w:val="TableParagraph"/>
              <w:spacing w:before="106"/>
              <w:rPr>
                <w:b/>
                <w:sz w:val="16"/>
              </w:rPr>
            </w:pPr>
            <w:r>
              <w:rPr>
                <w:b/>
                <w:sz w:val="16"/>
              </w:rPr>
              <w:t>základní vybavenost území</w:t>
            </w:r>
          </w:p>
          <w:p>
            <w:pPr>
              <w:pStyle w:val="TableParagraph"/>
              <w:spacing w:before="61"/>
              <w:ind w:right="450"/>
              <w:rPr>
                <w:sz w:val="16"/>
              </w:rPr>
            </w:pPr>
            <w:r>
              <w:rPr>
                <w:sz w:val="16"/>
              </w:rPr>
              <w:t>terénní úpravy kromě těžebních prací a skládek odpadů, opěrné zdi, propustky a přemostění, oplocení</w:t>
            </w:r>
          </w:p>
          <w:p>
            <w:pPr>
              <w:pStyle w:val="TableParagraph"/>
              <w:spacing w:before="57"/>
              <w:ind w:right="189" w:hanging="1"/>
              <w:rPr>
                <w:sz w:val="16"/>
              </w:rPr>
            </w:pPr>
            <w:r>
              <w:rPr>
                <w:sz w:val="16"/>
              </w:rPr>
              <w:t>vodní toky a vodní plochy do 300 m</w:t>
            </w:r>
            <w:r>
              <w:rPr>
                <w:sz w:val="16"/>
                <w:vertAlign w:val="superscript"/>
              </w:rPr>
              <w:t>2</w:t>
            </w:r>
            <w:r>
              <w:rPr>
                <w:sz w:val="16"/>
                <w:vertAlign w:val="baseline"/>
              </w:rPr>
              <w:t>, parkové, sadovnické a zahradnické úpravy, pobytové louky, plošné a liniové prvky ochranné a doprovodné zeleně vč. biokoridorů ÚSES a IP</w:t>
            </w:r>
          </w:p>
          <w:p>
            <w:pPr>
              <w:pStyle w:val="TableParagraph"/>
              <w:spacing w:before="58"/>
              <w:ind w:right="139" w:hanging="1"/>
              <w:rPr>
                <w:sz w:val="16"/>
              </w:rPr>
            </w:pPr>
            <w:r>
              <w:rPr>
                <w:sz w:val="16"/>
              </w:rPr>
              <w:t>veřejná prostranství - místní komunikace zpřístupňující objekty a pozemky v ploše, komunikace, pobytové prostory s vyloučením motorové dopravy, zastávky VDO, parkování</w:t>
            </w:r>
            <w:r>
              <w:rPr>
                <w:spacing w:val="-22"/>
                <w:sz w:val="16"/>
              </w:rPr>
              <w:t> </w:t>
            </w:r>
            <w:r>
              <w:rPr>
                <w:sz w:val="16"/>
              </w:rPr>
              <w:t>OA</w:t>
            </w:r>
          </w:p>
          <w:p>
            <w:pPr>
              <w:pStyle w:val="TableParagraph"/>
              <w:spacing w:before="55"/>
              <w:ind w:right="156"/>
              <w:rPr>
                <w:sz w:val="16"/>
              </w:rPr>
            </w:pPr>
            <w:r>
              <w:rPr>
                <w:sz w:val="16"/>
              </w:rPr>
              <w:t>technická infrastruktura - liniové stavby a plošně nenáročná zařízení vodovodů, kanalizace, produktovodů, energetických zařízení vč. obnovitelných zdrojů, elektronických</w:t>
            </w:r>
            <w:r>
              <w:rPr>
                <w:spacing w:val="-22"/>
                <w:sz w:val="16"/>
              </w:rPr>
              <w:t> </w:t>
            </w:r>
            <w:r>
              <w:rPr>
                <w:sz w:val="16"/>
              </w:rPr>
              <w:t>komunikací</w:t>
            </w:r>
          </w:p>
          <w:p>
            <w:pPr>
              <w:pStyle w:val="TableParagraph"/>
              <w:spacing w:before="57"/>
              <w:ind w:right="361"/>
              <w:rPr>
                <w:sz w:val="16"/>
              </w:rPr>
            </w:pPr>
            <w:r>
              <w:rPr>
                <w:sz w:val="16"/>
              </w:rPr>
              <w:t>správa a údržba, technologická zařízení, přístřešky pro skladování a manipulaci nesloužící pro hořlavé, chemické látky, které mohou způsobit znečištění životního prostředí</w:t>
            </w:r>
          </w:p>
          <w:p>
            <w:pPr>
              <w:pStyle w:val="TableParagraph"/>
              <w:spacing w:before="58"/>
              <w:ind w:right="610"/>
              <w:rPr>
                <w:sz w:val="16"/>
              </w:rPr>
            </w:pPr>
            <w:r>
              <w:rPr>
                <w:sz w:val="16"/>
              </w:rPr>
              <w:t>rekreace - hřiště, mobiliář, přístřešky pro obsluhu, občerstvení a hygienu, stavby drobné architektury bez pobytových místností</w:t>
            </w:r>
          </w:p>
          <w:p>
            <w:pPr>
              <w:pStyle w:val="TableParagraph"/>
              <w:spacing w:before="58"/>
              <w:ind w:right="140"/>
              <w:rPr>
                <w:sz w:val="16"/>
              </w:rPr>
            </w:pPr>
            <w:r>
              <w:rPr>
                <w:sz w:val="16"/>
              </w:rPr>
              <w:t>pěstitelská a chovatelská činnost - skleníky, kotce, přístřešky pro hospodaření</w:t>
            </w:r>
          </w:p>
          <w:p>
            <w:pPr>
              <w:pStyle w:val="TableParagraph"/>
              <w:spacing w:line="312" w:lineRule="auto" w:before="57"/>
              <w:ind w:right="726" w:hanging="1"/>
              <w:rPr>
                <w:sz w:val="16"/>
              </w:rPr>
            </w:pPr>
            <w:r>
              <w:rPr>
                <w:sz w:val="16"/>
              </w:rPr>
              <w:t>informační zařízení do 8 m</w:t>
            </w:r>
            <w:r>
              <w:rPr>
                <w:sz w:val="16"/>
                <w:vertAlign w:val="superscript"/>
              </w:rPr>
              <w:t>2</w:t>
            </w:r>
            <w:r>
              <w:rPr>
                <w:sz w:val="16"/>
                <w:vertAlign w:val="baseline"/>
              </w:rPr>
              <w:t> informační plochy ochrana před povodněmi, erozí, hlukem, exhalacemi</w:t>
            </w:r>
          </w:p>
          <w:p>
            <w:pPr>
              <w:pStyle w:val="TableParagraph"/>
              <w:spacing w:line="182" w:lineRule="exact" w:before="8"/>
              <w:ind w:right="201"/>
              <w:rPr>
                <w:sz w:val="16"/>
              </w:rPr>
            </w:pPr>
            <w:r>
              <w:rPr>
                <w:sz w:val="16"/>
              </w:rPr>
              <w:t>integrované stavby a zařízení: bydlení správce, občanské vybavení, nerušící výroba, chovatelská a pěstitelská činnost</w:t>
            </w:r>
          </w:p>
        </w:tc>
        <w:tc>
          <w:tcPr>
            <w:tcW w:w="5035" w:type="dxa"/>
          </w:tcPr>
          <w:p>
            <w:pPr>
              <w:pStyle w:val="TableParagraph"/>
              <w:spacing w:before="53"/>
              <w:ind w:right="918"/>
              <w:rPr>
                <w:sz w:val="16"/>
              </w:rPr>
            </w:pPr>
            <w:r>
              <w:rPr>
                <w:sz w:val="16"/>
              </w:rPr>
              <w:t>slouží bezprostředně k zajištění hlavního, přípustného a podmíněně přípustného využití dané plochy</w:t>
            </w:r>
          </w:p>
          <w:p>
            <w:pPr>
              <w:pStyle w:val="TableParagraph"/>
              <w:spacing w:before="57"/>
              <w:ind w:right="223"/>
              <w:rPr>
                <w:sz w:val="16"/>
              </w:rPr>
            </w:pPr>
            <w:r>
              <w:rPr>
                <w:sz w:val="16"/>
              </w:rPr>
              <w:t>budou uplatněny podmínky prostorového uspořádání odpovídající podmínkám prostorového uspořádání dané plochy</w:t>
            </w:r>
          </w:p>
        </w:tc>
      </w:tr>
      <w:tr>
        <w:trPr>
          <w:trHeight w:val="297" w:hRule="atLeast"/>
        </w:trPr>
        <w:tc>
          <w:tcPr>
            <w:tcW w:w="4603" w:type="dxa"/>
            <w:shd w:val="clear" w:color="auto" w:fill="CCFFFF"/>
          </w:tcPr>
          <w:p>
            <w:pPr>
              <w:pStyle w:val="TableParagraph"/>
              <w:spacing w:line="171" w:lineRule="exact" w:before="106"/>
              <w:rPr>
                <w:b/>
                <w:sz w:val="16"/>
              </w:rPr>
            </w:pPr>
            <w:r>
              <w:rPr>
                <w:b/>
                <w:sz w:val="16"/>
              </w:rPr>
              <w:t>NEPŘÍPUSTNÉ VYUŽITÍ</w:t>
            </w:r>
          </w:p>
        </w:tc>
        <w:tc>
          <w:tcPr>
            <w:tcW w:w="5035" w:type="dxa"/>
            <w:shd w:val="clear" w:color="auto" w:fill="CCFFFF"/>
          </w:tcPr>
          <w:p>
            <w:pPr>
              <w:pStyle w:val="TableParagraph"/>
              <w:ind w:left="0"/>
              <w:rPr>
                <w:rFonts w:ascii="Times New Roman"/>
                <w:sz w:val="16"/>
              </w:rPr>
            </w:pPr>
          </w:p>
        </w:tc>
      </w:tr>
      <w:tr>
        <w:trPr>
          <w:trHeight w:val="527" w:hRule="atLeast"/>
        </w:trPr>
        <w:tc>
          <w:tcPr>
            <w:tcW w:w="4603" w:type="dxa"/>
          </w:tcPr>
          <w:p>
            <w:pPr>
              <w:pStyle w:val="TableParagraph"/>
              <w:spacing w:before="106"/>
              <w:rPr>
                <w:b/>
                <w:sz w:val="16"/>
              </w:rPr>
            </w:pPr>
            <w:r>
              <w:rPr>
                <w:b/>
                <w:sz w:val="16"/>
              </w:rPr>
              <w:t>zejména využití, u kterého existuje riziko, že:</w:t>
            </w:r>
          </w:p>
          <w:p>
            <w:pPr>
              <w:pStyle w:val="TableParagraph"/>
              <w:spacing w:line="168" w:lineRule="exact" w:before="49"/>
              <w:rPr>
                <w:sz w:val="16"/>
              </w:rPr>
            </w:pPr>
            <w:r>
              <w:rPr>
                <w:sz w:val="16"/>
              </w:rPr>
              <w:t>naruší pohodu bydlení a kvalitu prostředí plochy bydlení</w:t>
            </w:r>
          </w:p>
        </w:tc>
        <w:tc>
          <w:tcPr>
            <w:tcW w:w="5035" w:type="dxa"/>
          </w:tcPr>
          <w:p>
            <w:pPr>
              <w:pStyle w:val="TableParagraph"/>
              <w:ind w:left="0"/>
              <w:rPr>
                <w:rFonts w:ascii="Times New Roman"/>
                <w:sz w:val="16"/>
              </w:rPr>
            </w:pPr>
          </w:p>
        </w:tc>
      </w:tr>
    </w:tbl>
    <w:p>
      <w:pPr>
        <w:spacing w:after="0"/>
        <w:rPr>
          <w:rFonts w:ascii="Times New Roman"/>
          <w:sz w:val="16"/>
        </w:rPr>
        <w:sectPr>
          <w:pgSz w:w="11900" w:h="16840"/>
          <w:pgMar w:header="561" w:footer="582" w:top="760" w:bottom="780" w:left="960" w:right="980"/>
        </w:sectPr>
      </w:pPr>
    </w:p>
    <w:p>
      <w:pPr>
        <w:pStyle w:val="BodyText"/>
        <w:ind w:left="0" w:firstLine="0"/>
        <w:jc w:val="left"/>
        <w:rPr>
          <w:b/>
          <w:sz w:val="20"/>
        </w:rPr>
      </w:pPr>
    </w:p>
    <w:p>
      <w:pPr>
        <w:pStyle w:val="BodyText"/>
        <w:spacing w:before="7"/>
        <w:ind w:left="0" w:firstLine="0"/>
        <w:jc w:val="left"/>
        <w:rPr>
          <w:b/>
          <w:sz w:val="11"/>
        </w:r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03"/>
        <w:gridCol w:w="5035"/>
      </w:tblGrid>
      <w:tr>
        <w:trPr>
          <w:trHeight w:val="311" w:hRule="atLeast"/>
        </w:trPr>
        <w:tc>
          <w:tcPr>
            <w:tcW w:w="4603" w:type="dxa"/>
            <w:shd w:val="clear" w:color="auto" w:fill="32CCCC"/>
          </w:tcPr>
          <w:p>
            <w:pPr>
              <w:pStyle w:val="TableParagraph"/>
              <w:spacing w:line="237" w:lineRule="exact" w:before="55"/>
              <w:rPr>
                <w:b/>
                <w:sz w:val="22"/>
              </w:rPr>
            </w:pPr>
            <w:r>
              <w:rPr>
                <w:b/>
                <w:sz w:val="22"/>
              </w:rPr>
              <w:t>PLOCHY SMÍŠENÝCH AKTIVIT</w:t>
            </w:r>
          </w:p>
        </w:tc>
        <w:tc>
          <w:tcPr>
            <w:tcW w:w="5035" w:type="dxa"/>
            <w:shd w:val="clear" w:color="auto" w:fill="32CCCC"/>
          </w:tcPr>
          <w:p>
            <w:pPr>
              <w:pStyle w:val="TableParagraph"/>
              <w:spacing w:line="237" w:lineRule="exact" w:before="55"/>
              <w:rPr>
                <w:b/>
                <w:sz w:val="22"/>
              </w:rPr>
            </w:pPr>
            <w:r>
              <w:rPr>
                <w:b/>
                <w:w w:val="100"/>
                <w:sz w:val="22"/>
              </w:rPr>
              <w:t>A</w:t>
            </w:r>
          </w:p>
        </w:tc>
      </w:tr>
      <w:tr>
        <w:trPr>
          <w:trHeight w:val="239" w:hRule="atLeast"/>
        </w:trPr>
        <w:tc>
          <w:tcPr>
            <w:tcW w:w="4603" w:type="dxa"/>
            <w:shd w:val="clear" w:color="auto" w:fill="CCFFFF"/>
          </w:tcPr>
          <w:p>
            <w:pPr>
              <w:pStyle w:val="TableParagraph"/>
              <w:spacing w:line="166" w:lineRule="exact" w:before="53"/>
              <w:rPr>
                <w:sz w:val="16"/>
              </w:rPr>
            </w:pPr>
            <w:r>
              <w:rPr>
                <w:sz w:val="16"/>
              </w:rPr>
              <w:t>pozemky pro stavby, zařízení, úpravy, kultury, činnosti</w:t>
            </w:r>
          </w:p>
        </w:tc>
        <w:tc>
          <w:tcPr>
            <w:tcW w:w="5035" w:type="dxa"/>
            <w:shd w:val="clear" w:color="auto" w:fill="CCFFFF"/>
          </w:tcPr>
          <w:p>
            <w:pPr>
              <w:pStyle w:val="TableParagraph"/>
              <w:ind w:left="0"/>
              <w:rPr>
                <w:rFonts w:ascii="Times New Roman"/>
                <w:sz w:val="16"/>
              </w:rPr>
            </w:pPr>
          </w:p>
        </w:tc>
      </w:tr>
      <w:tr>
        <w:trPr>
          <w:trHeight w:val="241" w:hRule="atLeast"/>
        </w:trPr>
        <w:tc>
          <w:tcPr>
            <w:tcW w:w="4603" w:type="dxa"/>
            <w:shd w:val="clear" w:color="auto" w:fill="CCFFFF"/>
          </w:tcPr>
          <w:p>
            <w:pPr>
              <w:pStyle w:val="TableParagraph"/>
              <w:spacing w:line="168" w:lineRule="exact" w:before="53"/>
              <w:rPr>
                <w:b/>
                <w:sz w:val="16"/>
              </w:rPr>
            </w:pPr>
            <w:r>
              <w:rPr>
                <w:b/>
                <w:sz w:val="16"/>
              </w:rPr>
              <w:t>PŘÍPUSTNÉ VYUŽITÍ</w:t>
            </w:r>
          </w:p>
        </w:tc>
        <w:tc>
          <w:tcPr>
            <w:tcW w:w="5035" w:type="dxa"/>
            <w:shd w:val="clear" w:color="auto" w:fill="CCFFFF"/>
          </w:tcPr>
          <w:p>
            <w:pPr>
              <w:pStyle w:val="TableParagraph"/>
              <w:ind w:left="0"/>
              <w:rPr>
                <w:rFonts w:ascii="Times New Roman"/>
                <w:sz w:val="16"/>
              </w:rPr>
            </w:pPr>
          </w:p>
        </w:tc>
      </w:tr>
      <w:tr>
        <w:trPr>
          <w:trHeight w:val="244" w:hRule="atLeast"/>
        </w:trPr>
        <w:tc>
          <w:tcPr>
            <w:tcW w:w="4603" w:type="dxa"/>
          </w:tcPr>
          <w:p>
            <w:pPr>
              <w:pStyle w:val="TableParagraph"/>
              <w:spacing w:line="171" w:lineRule="exact" w:before="53"/>
              <w:rPr>
                <w:sz w:val="16"/>
              </w:rPr>
            </w:pPr>
            <w:r>
              <w:rPr>
                <w:b/>
                <w:sz w:val="16"/>
              </w:rPr>
              <w:t>smíšené funkce </w:t>
            </w:r>
            <w:r>
              <w:rPr>
                <w:sz w:val="16"/>
              </w:rPr>
              <w:t>- domy smíšené funkce</w:t>
            </w:r>
          </w:p>
        </w:tc>
        <w:tc>
          <w:tcPr>
            <w:tcW w:w="5035" w:type="dxa"/>
          </w:tcPr>
          <w:p>
            <w:pPr>
              <w:pStyle w:val="TableParagraph"/>
              <w:ind w:left="0"/>
              <w:rPr>
                <w:rFonts w:ascii="Times New Roman"/>
                <w:sz w:val="16"/>
              </w:rPr>
            </w:pPr>
          </w:p>
        </w:tc>
      </w:tr>
      <w:tr>
        <w:trPr>
          <w:trHeight w:val="244" w:hRule="atLeast"/>
        </w:trPr>
        <w:tc>
          <w:tcPr>
            <w:tcW w:w="4603" w:type="dxa"/>
          </w:tcPr>
          <w:p>
            <w:pPr>
              <w:pStyle w:val="TableParagraph"/>
              <w:spacing w:line="171" w:lineRule="exact" w:before="53"/>
              <w:rPr>
                <w:sz w:val="16"/>
              </w:rPr>
            </w:pPr>
            <w:r>
              <w:rPr>
                <w:b/>
                <w:sz w:val="16"/>
              </w:rPr>
              <w:t>ubytování </w:t>
            </w:r>
            <w:r>
              <w:rPr>
                <w:sz w:val="16"/>
              </w:rPr>
              <w:t>- zejména, ubytovny, motely, penziony</w:t>
            </w:r>
          </w:p>
        </w:tc>
        <w:tc>
          <w:tcPr>
            <w:tcW w:w="5035" w:type="dxa"/>
          </w:tcPr>
          <w:p>
            <w:pPr>
              <w:pStyle w:val="TableParagraph"/>
              <w:ind w:left="0"/>
              <w:rPr>
                <w:rFonts w:ascii="Times New Roman"/>
                <w:sz w:val="16"/>
              </w:rPr>
            </w:pPr>
          </w:p>
        </w:tc>
      </w:tr>
      <w:tr>
        <w:trPr>
          <w:trHeight w:val="611" w:hRule="atLeast"/>
        </w:trPr>
        <w:tc>
          <w:tcPr>
            <w:tcW w:w="4603" w:type="dxa"/>
          </w:tcPr>
          <w:p>
            <w:pPr>
              <w:pStyle w:val="TableParagraph"/>
              <w:spacing w:line="180" w:lineRule="atLeast" w:before="53"/>
              <w:ind w:right="175"/>
              <w:rPr>
                <w:sz w:val="16"/>
              </w:rPr>
            </w:pPr>
            <w:r>
              <w:rPr>
                <w:b/>
                <w:sz w:val="16"/>
              </w:rPr>
              <w:t>občanské vybavení </w:t>
            </w:r>
            <w:r>
              <w:rPr>
                <w:sz w:val="16"/>
              </w:rPr>
              <w:t>- zejména předškolní a školní výchova, kultura, sport, sociální a zdravotní služby, komerční služby, stravování, veřejná správa</w:t>
            </w:r>
          </w:p>
        </w:tc>
        <w:tc>
          <w:tcPr>
            <w:tcW w:w="5035" w:type="dxa"/>
          </w:tcPr>
          <w:p>
            <w:pPr>
              <w:pStyle w:val="TableParagraph"/>
              <w:ind w:left="0"/>
              <w:rPr>
                <w:rFonts w:ascii="Times New Roman"/>
                <w:sz w:val="16"/>
              </w:rPr>
            </w:pPr>
          </w:p>
        </w:tc>
      </w:tr>
      <w:tr>
        <w:trPr>
          <w:trHeight w:val="426" w:hRule="atLeast"/>
        </w:trPr>
        <w:tc>
          <w:tcPr>
            <w:tcW w:w="4603" w:type="dxa"/>
          </w:tcPr>
          <w:p>
            <w:pPr>
              <w:pStyle w:val="TableParagraph"/>
              <w:spacing w:line="180" w:lineRule="atLeast" w:before="53"/>
              <w:ind w:right="290"/>
              <w:rPr>
                <w:sz w:val="16"/>
              </w:rPr>
            </w:pPr>
            <w:r>
              <w:rPr>
                <w:b/>
                <w:sz w:val="16"/>
              </w:rPr>
              <w:t>zvláštní zájmy </w:t>
            </w:r>
            <w:r>
              <w:rPr>
                <w:sz w:val="16"/>
              </w:rPr>
              <w:t>- zejména bezpečnost, obrana státu, civilní ochrana, vězeňství, zvířecí útulky</w:t>
            </w:r>
          </w:p>
        </w:tc>
        <w:tc>
          <w:tcPr>
            <w:tcW w:w="5035" w:type="dxa"/>
          </w:tcPr>
          <w:p>
            <w:pPr>
              <w:pStyle w:val="TableParagraph"/>
              <w:ind w:left="0"/>
              <w:rPr>
                <w:rFonts w:ascii="Times New Roman"/>
                <w:sz w:val="16"/>
              </w:rPr>
            </w:pPr>
          </w:p>
        </w:tc>
      </w:tr>
      <w:tr>
        <w:trPr>
          <w:trHeight w:val="609" w:hRule="atLeast"/>
        </w:trPr>
        <w:tc>
          <w:tcPr>
            <w:tcW w:w="4603" w:type="dxa"/>
          </w:tcPr>
          <w:p>
            <w:pPr>
              <w:pStyle w:val="TableParagraph"/>
              <w:spacing w:before="51"/>
              <w:rPr>
                <w:sz w:val="16"/>
              </w:rPr>
            </w:pPr>
            <w:r>
              <w:rPr>
                <w:b/>
                <w:sz w:val="16"/>
              </w:rPr>
              <w:t>výroba </w:t>
            </w:r>
            <w:r>
              <w:rPr>
                <w:sz w:val="16"/>
              </w:rPr>
              <w:t>- zejména nerušící výroba, sklady, opravny,</w:t>
            </w:r>
          </w:p>
          <w:p>
            <w:pPr>
              <w:pStyle w:val="TableParagraph"/>
              <w:spacing w:line="180" w:lineRule="atLeast" w:before="3"/>
              <w:ind w:right="486"/>
              <w:rPr>
                <w:sz w:val="16"/>
              </w:rPr>
            </w:pPr>
            <w:r>
              <w:rPr>
                <w:sz w:val="16"/>
              </w:rPr>
              <w:t>zemědělské a lesnické služby, zahradnictví, skleníkové areály, technické služby města, komerční administrativa</w:t>
            </w:r>
          </w:p>
        </w:tc>
        <w:tc>
          <w:tcPr>
            <w:tcW w:w="5035" w:type="dxa"/>
          </w:tcPr>
          <w:p>
            <w:pPr>
              <w:pStyle w:val="TableParagraph"/>
              <w:ind w:left="0"/>
              <w:rPr>
                <w:rFonts w:ascii="Times New Roman"/>
                <w:sz w:val="16"/>
              </w:rPr>
            </w:pPr>
          </w:p>
        </w:tc>
      </w:tr>
      <w:tr>
        <w:trPr>
          <w:trHeight w:val="1389" w:hRule="atLeast"/>
        </w:trPr>
        <w:tc>
          <w:tcPr>
            <w:tcW w:w="4603" w:type="dxa"/>
            <w:vMerge w:val="restart"/>
            <w:shd w:val="clear" w:color="auto" w:fill="CCFFFF"/>
          </w:tcPr>
          <w:p>
            <w:pPr>
              <w:pStyle w:val="TableParagraph"/>
              <w:spacing w:before="51"/>
              <w:rPr>
                <w:b/>
                <w:sz w:val="16"/>
              </w:rPr>
            </w:pPr>
            <w:r>
              <w:rPr>
                <w:b/>
                <w:sz w:val="16"/>
              </w:rPr>
              <w:t>PODMÍNĚNĚ PŘÍPUSTNÉ VYUŽITÍ</w:t>
            </w:r>
          </w:p>
        </w:tc>
        <w:tc>
          <w:tcPr>
            <w:tcW w:w="5035" w:type="dxa"/>
            <w:shd w:val="clear" w:color="auto" w:fill="CCFFFF"/>
          </w:tcPr>
          <w:p>
            <w:pPr>
              <w:pStyle w:val="TableParagraph"/>
              <w:spacing w:line="244" w:lineRule="auto" w:before="51"/>
              <w:ind w:right="260"/>
              <w:rPr>
                <w:sz w:val="16"/>
              </w:rPr>
            </w:pPr>
            <w:r>
              <w:rPr>
                <w:b/>
                <w:sz w:val="16"/>
              </w:rPr>
              <w:t>obecné podmínky: </w:t>
            </w:r>
            <w:r>
              <w:rPr>
                <w:sz w:val="16"/>
              </w:rPr>
              <w:t>prokázat přiměřenost jeho dopadů ve vztahu k hlavnímu a přípustnému využití z hlediska:</w:t>
            </w:r>
          </w:p>
          <w:p>
            <w:pPr>
              <w:pStyle w:val="TableParagraph"/>
              <w:spacing w:before="52"/>
              <w:rPr>
                <w:sz w:val="16"/>
              </w:rPr>
            </w:pPr>
            <w:r>
              <w:rPr>
                <w:sz w:val="16"/>
              </w:rPr>
              <w:t>významu v širším území</w:t>
            </w:r>
          </w:p>
          <w:p>
            <w:pPr>
              <w:pStyle w:val="TableParagraph"/>
              <w:spacing w:line="312" w:lineRule="auto" w:before="58"/>
              <w:ind w:right="1496"/>
              <w:rPr>
                <w:sz w:val="16"/>
              </w:rPr>
            </w:pPr>
            <w:r>
              <w:rPr>
                <w:sz w:val="16"/>
              </w:rPr>
              <w:t>narušení kvality prostředí resp. pohody bydlení charakteru a kapacity napojení na infrastrukturu</w:t>
            </w:r>
          </w:p>
          <w:p>
            <w:pPr>
              <w:pStyle w:val="TableParagraph"/>
              <w:spacing w:line="166" w:lineRule="exact" w:before="4"/>
              <w:rPr>
                <w:sz w:val="16"/>
              </w:rPr>
            </w:pPr>
            <w:r>
              <w:rPr>
                <w:sz w:val="16"/>
              </w:rPr>
              <w:t>vyvolaných omezení ve smyslu hygienických a dalších předpisů</w:t>
            </w:r>
          </w:p>
        </w:tc>
      </w:tr>
      <w:tr>
        <w:trPr>
          <w:trHeight w:val="241" w:hRule="atLeast"/>
        </w:trPr>
        <w:tc>
          <w:tcPr>
            <w:tcW w:w="4603" w:type="dxa"/>
            <w:vMerge/>
            <w:tcBorders>
              <w:top w:val="nil"/>
            </w:tcBorders>
            <w:shd w:val="clear" w:color="auto" w:fill="CCFFFF"/>
          </w:tcPr>
          <w:p>
            <w:pPr>
              <w:rPr>
                <w:sz w:val="2"/>
                <w:szCs w:val="2"/>
              </w:rPr>
            </w:pPr>
          </w:p>
        </w:tc>
        <w:tc>
          <w:tcPr>
            <w:tcW w:w="5035" w:type="dxa"/>
            <w:shd w:val="clear" w:color="auto" w:fill="CCFFFF"/>
          </w:tcPr>
          <w:p>
            <w:pPr>
              <w:pStyle w:val="TableParagraph"/>
              <w:spacing w:line="171" w:lineRule="exact" w:before="51"/>
              <w:rPr>
                <w:b/>
                <w:sz w:val="16"/>
              </w:rPr>
            </w:pPr>
            <w:r>
              <w:rPr>
                <w:b/>
                <w:sz w:val="16"/>
              </w:rPr>
              <w:t>specifické podmínky:</w:t>
            </w:r>
          </w:p>
        </w:tc>
      </w:tr>
      <w:tr>
        <w:trPr>
          <w:trHeight w:val="241" w:hRule="atLeast"/>
        </w:trPr>
        <w:tc>
          <w:tcPr>
            <w:tcW w:w="4603" w:type="dxa"/>
          </w:tcPr>
          <w:p>
            <w:pPr>
              <w:pStyle w:val="TableParagraph"/>
              <w:spacing w:line="168" w:lineRule="exact" w:before="53"/>
              <w:rPr>
                <w:sz w:val="16"/>
              </w:rPr>
            </w:pPr>
            <w:r>
              <w:rPr>
                <w:b/>
                <w:sz w:val="16"/>
              </w:rPr>
              <w:t>trvalé bydlení </w:t>
            </w:r>
            <w:r>
              <w:rPr>
                <w:sz w:val="16"/>
              </w:rPr>
              <w:t>- rodinné domy, bytové domy</w:t>
            </w:r>
          </w:p>
        </w:tc>
        <w:tc>
          <w:tcPr>
            <w:tcW w:w="5035" w:type="dxa"/>
            <w:vMerge w:val="restart"/>
          </w:tcPr>
          <w:p>
            <w:pPr>
              <w:pStyle w:val="TableParagraph"/>
              <w:spacing w:before="116"/>
              <w:ind w:right="492" w:hanging="1"/>
              <w:rPr>
                <w:sz w:val="16"/>
              </w:rPr>
            </w:pPr>
            <w:r>
              <w:rPr>
                <w:sz w:val="16"/>
              </w:rPr>
              <w:t>neomezí ve smyslu hygienických a dalších předpisů přípustné využití dané plochy</w:t>
            </w:r>
          </w:p>
        </w:tc>
      </w:tr>
      <w:tr>
        <w:trPr>
          <w:trHeight w:val="426" w:hRule="atLeast"/>
        </w:trPr>
        <w:tc>
          <w:tcPr>
            <w:tcW w:w="4603" w:type="dxa"/>
          </w:tcPr>
          <w:p>
            <w:pPr>
              <w:pStyle w:val="TableParagraph"/>
              <w:spacing w:line="180" w:lineRule="atLeast" w:before="53"/>
              <w:ind w:right="371"/>
              <w:rPr>
                <w:sz w:val="16"/>
              </w:rPr>
            </w:pPr>
            <w:r>
              <w:rPr>
                <w:b/>
                <w:sz w:val="16"/>
              </w:rPr>
              <w:t>specifické bydlení </w:t>
            </w:r>
            <w:r>
              <w:rPr>
                <w:sz w:val="16"/>
              </w:rPr>
              <w:t>- zejména domovy důchodců, domy s pečovatelskou službou, hospice</w:t>
            </w:r>
          </w:p>
        </w:tc>
        <w:tc>
          <w:tcPr>
            <w:tcW w:w="5035" w:type="dxa"/>
            <w:vMerge/>
            <w:tcBorders>
              <w:top w:val="nil"/>
            </w:tcBorders>
          </w:tcPr>
          <w:p>
            <w:pPr>
              <w:rPr>
                <w:sz w:val="2"/>
                <w:szCs w:val="2"/>
              </w:rPr>
            </w:pPr>
          </w:p>
        </w:tc>
      </w:tr>
      <w:tr>
        <w:trPr>
          <w:trHeight w:val="304" w:hRule="atLeast"/>
        </w:trPr>
        <w:tc>
          <w:tcPr>
            <w:tcW w:w="4603" w:type="dxa"/>
          </w:tcPr>
          <w:p>
            <w:pPr>
              <w:pStyle w:val="TableParagraph"/>
              <w:spacing w:line="171" w:lineRule="exact" w:before="113"/>
              <w:rPr>
                <w:sz w:val="16"/>
              </w:rPr>
            </w:pPr>
            <w:r>
              <w:rPr>
                <w:b/>
                <w:sz w:val="16"/>
              </w:rPr>
              <w:t>občanské vybavení </w:t>
            </w:r>
            <w:r>
              <w:rPr>
                <w:sz w:val="16"/>
              </w:rPr>
              <w:t>- obchodní prodej</w:t>
            </w:r>
          </w:p>
        </w:tc>
        <w:tc>
          <w:tcPr>
            <w:tcW w:w="5035" w:type="dxa"/>
          </w:tcPr>
          <w:p>
            <w:pPr>
              <w:pStyle w:val="TableParagraph"/>
              <w:spacing w:line="168" w:lineRule="exact" w:before="116"/>
              <w:rPr>
                <w:sz w:val="16"/>
              </w:rPr>
            </w:pPr>
            <w:r>
              <w:rPr>
                <w:sz w:val="16"/>
              </w:rPr>
              <w:t>max. velikost pozemku 4 000 m</w:t>
            </w:r>
            <w:r>
              <w:rPr>
                <w:sz w:val="16"/>
                <w:vertAlign w:val="superscript"/>
              </w:rPr>
              <w:t>2</w:t>
            </w:r>
          </w:p>
        </w:tc>
      </w:tr>
      <w:tr>
        <w:trPr>
          <w:trHeight w:val="671" w:hRule="atLeast"/>
        </w:trPr>
        <w:tc>
          <w:tcPr>
            <w:tcW w:w="4603" w:type="dxa"/>
          </w:tcPr>
          <w:p>
            <w:pPr>
              <w:pStyle w:val="TableParagraph"/>
              <w:spacing w:line="180" w:lineRule="atLeast" w:before="113"/>
              <w:ind w:right="77"/>
              <w:rPr>
                <w:sz w:val="16"/>
              </w:rPr>
            </w:pPr>
            <w:r>
              <w:rPr>
                <w:b/>
                <w:sz w:val="16"/>
              </w:rPr>
              <w:t>dopravní vybavení </w:t>
            </w:r>
            <w:r>
              <w:rPr>
                <w:sz w:val="16"/>
              </w:rPr>
              <w:t>- zejména veřejná parkoviště a parkovací objekty OA a autobusů, terminály a vozovny VDO, areály údržby komunikací, ČSPHM, autobazary</w:t>
            </w:r>
          </w:p>
        </w:tc>
        <w:tc>
          <w:tcPr>
            <w:tcW w:w="5035" w:type="dxa"/>
          </w:tcPr>
          <w:p>
            <w:pPr>
              <w:pStyle w:val="TableParagraph"/>
              <w:ind w:left="0"/>
              <w:rPr>
                <w:rFonts w:ascii="Times New Roman"/>
                <w:sz w:val="16"/>
              </w:rPr>
            </w:pPr>
          </w:p>
        </w:tc>
      </w:tr>
      <w:tr>
        <w:trPr>
          <w:trHeight w:val="297" w:hRule="atLeast"/>
        </w:trPr>
        <w:tc>
          <w:tcPr>
            <w:tcW w:w="4603" w:type="dxa"/>
          </w:tcPr>
          <w:p>
            <w:pPr>
              <w:pStyle w:val="TableParagraph"/>
              <w:spacing w:line="171" w:lineRule="exact" w:before="106"/>
              <w:rPr>
                <w:sz w:val="16"/>
              </w:rPr>
            </w:pPr>
            <w:r>
              <w:rPr>
                <w:b/>
                <w:sz w:val="16"/>
              </w:rPr>
              <w:t>zemědělská výroba </w:t>
            </w:r>
            <w:r>
              <w:rPr>
                <w:sz w:val="16"/>
              </w:rPr>
              <w:t>- rodinné farmy</w:t>
            </w:r>
          </w:p>
        </w:tc>
        <w:tc>
          <w:tcPr>
            <w:tcW w:w="5035" w:type="dxa"/>
          </w:tcPr>
          <w:p>
            <w:pPr>
              <w:pStyle w:val="TableParagraph"/>
              <w:spacing w:line="168" w:lineRule="exact" w:before="109"/>
              <w:rPr>
                <w:sz w:val="16"/>
              </w:rPr>
            </w:pPr>
            <w:r>
              <w:rPr>
                <w:sz w:val="16"/>
              </w:rPr>
              <w:t>sousedí s plochami zemědělskými</w:t>
            </w:r>
          </w:p>
        </w:tc>
      </w:tr>
      <w:tr>
        <w:trPr>
          <w:trHeight w:val="301" w:hRule="atLeast"/>
        </w:trPr>
        <w:tc>
          <w:tcPr>
            <w:tcW w:w="4603" w:type="dxa"/>
          </w:tcPr>
          <w:p>
            <w:pPr>
              <w:pStyle w:val="TableParagraph"/>
              <w:spacing w:line="168" w:lineRule="exact" w:before="113"/>
              <w:rPr>
                <w:b/>
                <w:sz w:val="16"/>
              </w:rPr>
            </w:pPr>
            <w:r>
              <w:rPr>
                <w:b/>
                <w:sz w:val="16"/>
              </w:rPr>
              <w:t>stavby pro reklamu</w:t>
            </w:r>
          </w:p>
        </w:tc>
        <w:tc>
          <w:tcPr>
            <w:tcW w:w="5035" w:type="dxa"/>
          </w:tcPr>
          <w:p>
            <w:pPr>
              <w:pStyle w:val="TableParagraph"/>
              <w:ind w:left="0"/>
              <w:rPr>
                <w:rFonts w:ascii="Times New Roman"/>
                <w:sz w:val="16"/>
              </w:rPr>
            </w:pPr>
          </w:p>
        </w:tc>
      </w:tr>
      <w:tr>
        <w:trPr>
          <w:trHeight w:val="481" w:hRule="atLeast"/>
        </w:trPr>
        <w:tc>
          <w:tcPr>
            <w:tcW w:w="4603" w:type="dxa"/>
          </w:tcPr>
          <w:p>
            <w:pPr>
              <w:pStyle w:val="TableParagraph"/>
              <w:spacing w:line="182" w:lineRule="exact" w:before="113"/>
              <w:rPr>
                <w:b/>
                <w:sz w:val="16"/>
              </w:rPr>
            </w:pPr>
            <w:r>
              <w:rPr>
                <w:b/>
                <w:sz w:val="16"/>
              </w:rPr>
              <w:t>liniové stavby technické infrastruktury nadřazených systémů</w:t>
            </w:r>
          </w:p>
        </w:tc>
        <w:tc>
          <w:tcPr>
            <w:tcW w:w="5035" w:type="dxa"/>
          </w:tcPr>
          <w:p>
            <w:pPr>
              <w:pStyle w:val="TableParagraph"/>
              <w:spacing w:before="111"/>
              <w:rPr>
                <w:sz w:val="16"/>
              </w:rPr>
            </w:pPr>
            <w:r>
              <w:rPr>
                <w:sz w:val="16"/>
              </w:rPr>
              <w:t>souvisí bezprostředně s provozem města</w:t>
            </w:r>
          </w:p>
        </w:tc>
      </w:tr>
      <w:tr>
        <w:trPr>
          <w:trHeight w:val="501" w:hRule="atLeast"/>
        </w:trPr>
        <w:tc>
          <w:tcPr>
            <w:tcW w:w="4603" w:type="dxa"/>
          </w:tcPr>
          <w:p>
            <w:pPr>
              <w:pStyle w:val="TableParagraph"/>
              <w:spacing w:before="106"/>
              <w:ind w:right="576"/>
              <w:rPr>
                <w:b/>
                <w:sz w:val="16"/>
              </w:rPr>
            </w:pPr>
            <w:r>
              <w:rPr>
                <w:b/>
                <w:sz w:val="16"/>
              </w:rPr>
              <w:t>plošně nenáročná zařízení technické infrastruktury nadřazených systémů</w:t>
            </w:r>
          </w:p>
        </w:tc>
        <w:tc>
          <w:tcPr>
            <w:tcW w:w="5035" w:type="dxa"/>
          </w:tcPr>
          <w:p>
            <w:pPr>
              <w:pStyle w:val="TableParagraph"/>
              <w:spacing w:before="109"/>
              <w:rPr>
                <w:sz w:val="16"/>
              </w:rPr>
            </w:pPr>
            <w:r>
              <w:rPr>
                <w:sz w:val="16"/>
              </w:rPr>
              <w:t>plocha nepřesáhne 1 000 m</w:t>
            </w:r>
            <w:r>
              <w:rPr>
                <w:sz w:val="16"/>
                <w:vertAlign w:val="superscript"/>
              </w:rPr>
              <w:t>2</w:t>
            </w:r>
          </w:p>
          <w:p>
            <w:pPr>
              <w:pStyle w:val="TableParagraph"/>
              <w:spacing w:line="168" w:lineRule="exact" w:before="20"/>
              <w:rPr>
                <w:sz w:val="16"/>
              </w:rPr>
            </w:pPr>
            <w:r>
              <w:rPr>
                <w:sz w:val="16"/>
              </w:rPr>
              <w:t>souvisí bezprostředně s provozem města</w:t>
            </w:r>
          </w:p>
        </w:tc>
      </w:tr>
      <w:tr>
        <w:trPr>
          <w:trHeight w:val="5101" w:hRule="atLeast"/>
        </w:trPr>
        <w:tc>
          <w:tcPr>
            <w:tcW w:w="4603" w:type="dxa"/>
          </w:tcPr>
          <w:p>
            <w:pPr>
              <w:pStyle w:val="TableParagraph"/>
              <w:spacing w:before="106"/>
              <w:rPr>
                <w:b/>
                <w:sz w:val="16"/>
              </w:rPr>
            </w:pPr>
            <w:r>
              <w:rPr>
                <w:b/>
                <w:sz w:val="16"/>
              </w:rPr>
              <w:t>základní vybavenost území</w:t>
            </w:r>
          </w:p>
          <w:p>
            <w:pPr>
              <w:pStyle w:val="TableParagraph"/>
              <w:spacing w:before="61"/>
              <w:ind w:right="450"/>
              <w:rPr>
                <w:sz w:val="16"/>
              </w:rPr>
            </w:pPr>
            <w:r>
              <w:rPr>
                <w:sz w:val="16"/>
              </w:rPr>
              <w:t>terénní úpravy kromě těžebních prací a skládek odpadů, opěrné zdi, propustky a přemostění, oplocení</w:t>
            </w:r>
          </w:p>
          <w:p>
            <w:pPr>
              <w:pStyle w:val="TableParagraph"/>
              <w:spacing w:before="57"/>
              <w:ind w:right="189" w:hanging="1"/>
              <w:rPr>
                <w:sz w:val="16"/>
              </w:rPr>
            </w:pPr>
            <w:r>
              <w:rPr>
                <w:sz w:val="16"/>
              </w:rPr>
              <w:t>vodní toky a vodní plochy do 300 m</w:t>
            </w:r>
            <w:r>
              <w:rPr>
                <w:sz w:val="16"/>
                <w:vertAlign w:val="superscript"/>
              </w:rPr>
              <w:t>2</w:t>
            </w:r>
            <w:r>
              <w:rPr>
                <w:sz w:val="16"/>
                <w:vertAlign w:val="baseline"/>
              </w:rPr>
              <w:t>, parkové, sadovnické a zahradnické úpravy, pobytové louky, plošné a liniové prvky ochranné a doprovodné zeleně vč. biokoridorů ÚSES a IP</w:t>
            </w:r>
          </w:p>
          <w:p>
            <w:pPr>
              <w:pStyle w:val="TableParagraph"/>
              <w:spacing w:before="58"/>
              <w:ind w:right="139" w:hanging="1"/>
              <w:rPr>
                <w:sz w:val="16"/>
              </w:rPr>
            </w:pPr>
            <w:r>
              <w:rPr>
                <w:sz w:val="16"/>
              </w:rPr>
              <w:t>veřejná prostranství - místní komunikace zpřístupňující objekty a pozemky v ploše, komunikace, pobytové prostory s vyloučením motorové dopravy, zastávky VDO, parkování</w:t>
            </w:r>
            <w:r>
              <w:rPr>
                <w:spacing w:val="-22"/>
                <w:sz w:val="16"/>
              </w:rPr>
              <w:t> </w:t>
            </w:r>
            <w:r>
              <w:rPr>
                <w:sz w:val="16"/>
              </w:rPr>
              <w:t>OA</w:t>
            </w:r>
          </w:p>
          <w:p>
            <w:pPr>
              <w:pStyle w:val="TableParagraph"/>
              <w:spacing w:before="55"/>
              <w:ind w:right="156"/>
              <w:rPr>
                <w:sz w:val="16"/>
              </w:rPr>
            </w:pPr>
            <w:r>
              <w:rPr>
                <w:sz w:val="16"/>
              </w:rPr>
              <w:t>technická infrastruktura - liniové stavby a plošně nenáročná zařízení vodovodů, kanalizace, produktovodů, energetických zařízení vč. obnovitelných zdrojů, elektronických</w:t>
            </w:r>
            <w:r>
              <w:rPr>
                <w:spacing w:val="-22"/>
                <w:sz w:val="16"/>
              </w:rPr>
              <w:t> </w:t>
            </w:r>
            <w:r>
              <w:rPr>
                <w:sz w:val="16"/>
              </w:rPr>
              <w:t>komunikací</w:t>
            </w:r>
          </w:p>
          <w:p>
            <w:pPr>
              <w:pStyle w:val="TableParagraph"/>
              <w:spacing w:before="57"/>
              <w:ind w:right="361"/>
              <w:rPr>
                <w:sz w:val="16"/>
              </w:rPr>
            </w:pPr>
            <w:r>
              <w:rPr>
                <w:sz w:val="16"/>
              </w:rPr>
              <w:t>správa a údržba, technologická zařízení, přístřešky pro skladování a manipulaci nesloužící pro hořlavé, chemické látky, které mohou způsobit znečištění životního prostředí</w:t>
            </w:r>
          </w:p>
          <w:p>
            <w:pPr>
              <w:pStyle w:val="TableParagraph"/>
              <w:spacing w:before="58"/>
              <w:ind w:right="610"/>
              <w:rPr>
                <w:sz w:val="16"/>
              </w:rPr>
            </w:pPr>
            <w:r>
              <w:rPr>
                <w:sz w:val="16"/>
              </w:rPr>
              <w:t>rekreace - hřiště, mobiliář, přístřešky pro obsluhu, občerstvení a hygienu, stavby drobné architektury bez pobytových místností</w:t>
            </w:r>
          </w:p>
          <w:p>
            <w:pPr>
              <w:pStyle w:val="TableParagraph"/>
              <w:spacing w:before="58"/>
              <w:ind w:right="140"/>
              <w:rPr>
                <w:sz w:val="16"/>
              </w:rPr>
            </w:pPr>
            <w:r>
              <w:rPr>
                <w:sz w:val="16"/>
              </w:rPr>
              <w:t>pěstitelská a chovatelská činnost - skleníky, kotce, přístřešky pro hospodaření</w:t>
            </w:r>
          </w:p>
          <w:p>
            <w:pPr>
              <w:pStyle w:val="TableParagraph"/>
              <w:spacing w:line="312" w:lineRule="auto" w:before="57"/>
              <w:ind w:right="726" w:hanging="1"/>
              <w:rPr>
                <w:sz w:val="16"/>
              </w:rPr>
            </w:pPr>
            <w:r>
              <w:rPr>
                <w:sz w:val="16"/>
              </w:rPr>
              <w:t>informační zařízení do 8 m</w:t>
            </w:r>
            <w:r>
              <w:rPr>
                <w:sz w:val="16"/>
                <w:vertAlign w:val="superscript"/>
              </w:rPr>
              <w:t>2</w:t>
            </w:r>
            <w:r>
              <w:rPr>
                <w:sz w:val="16"/>
                <w:vertAlign w:val="baseline"/>
              </w:rPr>
              <w:t> informační plochy ochrana před povodněmi, erozí, hlukem, exhalacemi</w:t>
            </w:r>
          </w:p>
          <w:p>
            <w:pPr>
              <w:pStyle w:val="TableParagraph"/>
              <w:spacing w:line="180" w:lineRule="atLeast" w:before="4"/>
              <w:ind w:right="201"/>
              <w:rPr>
                <w:sz w:val="16"/>
              </w:rPr>
            </w:pPr>
            <w:r>
              <w:rPr>
                <w:sz w:val="16"/>
              </w:rPr>
              <w:t>integrované stavby a zařízení: bydlení správce, občanské vybavení, nerušící výroba, chovatelská a pěstitelská činnost</w:t>
            </w:r>
          </w:p>
        </w:tc>
        <w:tc>
          <w:tcPr>
            <w:tcW w:w="5035" w:type="dxa"/>
          </w:tcPr>
          <w:p>
            <w:pPr>
              <w:pStyle w:val="TableParagraph"/>
              <w:spacing w:before="53"/>
              <w:ind w:right="918"/>
              <w:rPr>
                <w:sz w:val="16"/>
              </w:rPr>
            </w:pPr>
            <w:r>
              <w:rPr>
                <w:sz w:val="16"/>
              </w:rPr>
              <w:t>slouží bezprostředně k zajištění hlavního, přípustného a podmíněně přípustného využití dané plochy</w:t>
            </w:r>
          </w:p>
          <w:p>
            <w:pPr>
              <w:pStyle w:val="TableParagraph"/>
              <w:spacing w:before="57"/>
              <w:ind w:right="223"/>
              <w:rPr>
                <w:sz w:val="16"/>
              </w:rPr>
            </w:pPr>
            <w:r>
              <w:rPr>
                <w:sz w:val="16"/>
              </w:rPr>
              <w:t>budou uplatněny podmínky prostorového uspořádání odpovídající podmínkám prostorového uspořádání dané plochy</w:t>
            </w:r>
          </w:p>
        </w:tc>
      </w:tr>
      <w:tr>
        <w:trPr>
          <w:trHeight w:val="239" w:hRule="atLeast"/>
        </w:trPr>
        <w:tc>
          <w:tcPr>
            <w:tcW w:w="4603" w:type="dxa"/>
            <w:shd w:val="clear" w:color="auto" w:fill="CCFFFF"/>
          </w:tcPr>
          <w:p>
            <w:pPr>
              <w:pStyle w:val="TableParagraph"/>
              <w:spacing w:line="168" w:lineRule="exact" w:before="51"/>
              <w:rPr>
                <w:b/>
                <w:sz w:val="16"/>
              </w:rPr>
            </w:pPr>
            <w:r>
              <w:rPr>
                <w:b/>
                <w:sz w:val="16"/>
              </w:rPr>
              <w:t>NEPŘÍPUSTNÉ VYUŽITÍ</w:t>
            </w:r>
          </w:p>
        </w:tc>
        <w:tc>
          <w:tcPr>
            <w:tcW w:w="5035" w:type="dxa"/>
            <w:shd w:val="clear" w:color="auto" w:fill="CCFFFF"/>
          </w:tcPr>
          <w:p>
            <w:pPr>
              <w:pStyle w:val="TableParagraph"/>
              <w:ind w:left="0"/>
              <w:rPr>
                <w:rFonts w:ascii="Times New Roman"/>
                <w:sz w:val="16"/>
              </w:rPr>
            </w:pPr>
          </w:p>
        </w:tc>
      </w:tr>
      <w:tr>
        <w:trPr>
          <w:trHeight w:val="1149" w:hRule="atLeast"/>
        </w:trPr>
        <w:tc>
          <w:tcPr>
            <w:tcW w:w="4603" w:type="dxa"/>
          </w:tcPr>
          <w:p>
            <w:pPr>
              <w:pStyle w:val="TableParagraph"/>
              <w:spacing w:before="106"/>
              <w:rPr>
                <w:b/>
                <w:sz w:val="16"/>
              </w:rPr>
            </w:pPr>
            <w:r>
              <w:rPr>
                <w:b/>
                <w:sz w:val="16"/>
              </w:rPr>
              <w:t>zejména využití, u kterého existuje riziko, že:</w:t>
            </w:r>
          </w:p>
          <w:p>
            <w:pPr>
              <w:pStyle w:val="TableParagraph"/>
              <w:spacing w:before="61"/>
              <w:ind w:right="752"/>
              <w:rPr>
                <w:sz w:val="16"/>
              </w:rPr>
            </w:pPr>
            <w:r>
              <w:rPr>
                <w:sz w:val="16"/>
              </w:rPr>
              <w:t>naruší pohodu bydlení a kvalitu prostředí stávajících pozemků pro bydlení a občanské vybavení v ploše</w:t>
            </w:r>
          </w:p>
          <w:p>
            <w:pPr>
              <w:pStyle w:val="TableParagraph"/>
              <w:spacing w:line="180" w:lineRule="atLeast" w:before="57"/>
              <w:ind w:right="95"/>
              <w:rPr>
                <w:sz w:val="16"/>
              </w:rPr>
            </w:pPr>
            <w:r>
              <w:rPr>
                <w:sz w:val="16"/>
              </w:rPr>
              <w:t>vyvolá omezení ve smyslu hygienických a dalších předpisů stávajících pozemků pro výrobu a občanské vybavení v ploše</w:t>
            </w:r>
          </w:p>
        </w:tc>
        <w:tc>
          <w:tcPr>
            <w:tcW w:w="5035" w:type="dxa"/>
          </w:tcPr>
          <w:p>
            <w:pPr>
              <w:pStyle w:val="TableParagraph"/>
              <w:ind w:left="0"/>
              <w:rPr>
                <w:rFonts w:ascii="Times New Roman"/>
                <w:sz w:val="16"/>
              </w:rPr>
            </w:pPr>
          </w:p>
        </w:tc>
      </w:tr>
    </w:tbl>
    <w:p>
      <w:pPr>
        <w:spacing w:after="0"/>
        <w:rPr>
          <w:rFonts w:ascii="Times New Roman"/>
          <w:sz w:val="16"/>
        </w:rPr>
        <w:sectPr>
          <w:pgSz w:w="11900" w:h="16840"/>
          <w:pgMar w:header="561" w:footer="582" w:top="760" w:bottom="780" w:left="960" w:right="980"/>
        </w:sectPr>
      </w:pPr>
    </w:p>
    <w:p>
      <w:pPr>
        <w:pStyle w:val="BodyText"/>
        <w:ind w:left="0" w:firstLine="0"/>
        <w:jc w:val="left"/>
        <w:rPr>
          <w:b/>
          <w:sz w:val="20"/>
        </w:rPr>
      </w:pPr>
    </w:p>
    <w:p>
      <w:pPr>
        <w:pStyle w:val="BodyText"/>
        <w:spacing w:before="7"/>
        <w:ind w:left="0" w:firstLine="0"/>
        <w:jc w:val="left"/>
        <w:rPr>
          <w:b/>
          <w:sz w:val="11"/>
        </w:r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03"/>
        <w:gridCol w:w="5035"/>
      </w:tblGrid>
      <w:tr>
        <w:trPr>
          <w:trHeight w:val="311" w:hRule="atLeast"/>
        </w:trPr>
        <w:tc>
          <w:tcPr>
            <w:tcW w:w="4603" w:type="dxa"/>
            <w:shd w:val="clear" w:color="auto" w:fill="32CCCC"/>
          </w:tcPr>
          <w:p>
            <w:pPr>
              <w:pStyle w:val="TableParagraph"/>
              <w:spacing w:line="237" w:lineRule="exact" w:before="55"/>
              <w:rPr>
                <w:b/>
                <w:sz w:val="22"/>
              </w:rPr>
            </w:pPr>
            <w:r>
              <w:rPr>
                <w:b/>
                <w:sz w:val="22"/>
              </w:rPr>
              <w:t>PLOCHY SMÍŠENÉ CENTRÁLNÍ</w:t>
            </w:r>
          </w:p>
        </w:tc>
        <w:tc>
          <w:tcPr>
            <w:tcW w:w="5035" w:type="dxa"/>
            <w:shd w:val="clear" w:color="auto" w:fill="32CCCC"/>
          </w:tcPr>
          <w:p>
            <w:pPr>
              <w:pStyle w:val="TableParagraph"/>
              <w:spacing w:line="237" w:lineRule="exact" w:before="55"/>
              <w:rPr>
                <w:b/>
                <w:sz w:val="22"/>
              </w:rPr>
            </w:pPr>
            <w:r>
              <w:rPr>
                <w:b/>
                <w:w w:val="100"/>
                <w:sz w:val="22"/>
              </w:rPr>
              <w:t>C</w:t>
            </w:r>
          </w:p>
        </w:tc>
      </w:tr>
      <w:tr>
        <w:trPr>
          <w:trHeight w:val="239" w:hRule="atLeast"/>
        </w:trPr>
        <w:tc>
          <w:tcPr>
            <w:tcW w:w="4603" w:type="dxa"/>
            <w:shd w:val="clear" w:color="auto" w:fill="CCFFFF"/>
          </w:tcPr>
          <w:p>
            <w:pPr>
              <w:pStyle w:val="TableParagraph"/>
              <w:spacing w:line="166" w:lineRule="exact" w:before="53"/>
              <w:rPr>
                <w:sz w:val="16"/>
              </w:rPr>
            </w:pPr>
            <w:r>
              <w:rPr>
                <w:sz w:val="16"/>
              </w:rPr>
              <w:t>pozemky pro stavby, zařízení, úpravy, kultury, činnosti</w:t>
            </w:r>
          </w:p>
        </w:tc>
        <w:tc>
          <w:tcPr>
            <w:tcW w:w="5035" w:type="dxa"/>
            <w:shd w:val="clear" w:color="auto" w:fill="CCFFFF"/>
          </w:tcPr>
          <w:p>
            <w:pPr>
              <w:pStyle w:val="TableParagraph"/>
              <w:ind w:left="0"/>
              <w:rPr>
                <w:rFonts w:ascii="Times New Roman"/>
                <w:sz w:val="16"/>
              </w:rPr>
            </w:pPr>
          </w:p>
        </w:tc>
      </w:tr>
      <w:tr>
        <w:trPr>
          <w:trHeight w:val="241" w:hRule="atLeast"/>
        </w:trPr>
        <w:tc>
          <w:tcPr>
            <w:tcW w:w="4603" w:type="dxa"/>
            <w:shd w:val="clear" w:color="auto" w:fill="CCFFFF"/>
          </w:tcPr>
          <w:p>
            <w:pPr>
              <w:pStyle w:val="TableParagraph"/>
              <w:spacing w:line="168" w:lineRule="exact" w:before="53"/>
              <w:rPr>
                <w:b/>
                <w:sz w:val="16"/>
              </w:rPr>
            </w:pPr>
            <w:r>
              <w:rPr>
                <w:b/>
                <w:sz w:val="16"/>
              </w:rPr>
              <w:t>HLAVNÍ VYUŽITÍ</w:t>
            </w:r>
          </w:p>
        </w:tc>
        <w:tc>
          <w:tcPr>
            <w:tcW w:w="5035" w:type="dxa"/>
            <w:shd w:val="clear" w:color="auto" w:fill="CCFFFF"/>
          </w:tcPr>
          <w:p>
            <w:pPr>
              <w:pStyle w:val="TableParagraph"/>
              <w:ind w:left="0"/>
              <w:rPr>
                <w:rFonts w:ascii="Times New Roman"/>
                <w:sz w:val="16"/>
              </w:rPr>
            </w:pPr>
          </w:p>
        </w:tc>
      </w:tr>
      <w:tr>
        <w:trPr>
          <w:trHeight w:val="241" w:hRule="atLeast"/>
        </w:trPr>
        <w:tc>
          <w:tcPr>
            <w:tcW w:w="4603" w:type="dxa"/>
          </w:tcPr>
          <w:p>
            <w:pPr>
              <w:pStyle w:val="TableParagraph"/>
              <w:spacing w:line="171" w:lineRule="exact" w:before="51"/>
              <w:rPr>
                <w:b/>
                <w:sz w:val="16"/>
              </w:rPr>
            </w:pPr>
            <w:r>
              <w:rPr>
                <w:b/>
                <w:w w:val="100"/>
                <w:sz w:val="16"/>
              </w:rPr>
              <w:t>-</w:t>
            </w:r>
          </w:p>
        </w:tc>
        <w:tc>
          <w:tcPr>
            <w:tcW w:w="5035" w:type="dxa"/>
          </w:tcPr>
          <w:p>
            <w:pPr>
              <w:pStyle w:val="TableParagraph"/>
              <w:ind w:left="0"/>
              <w:rPr>
                <w:rFonts w:ascii="Times New Roman"/>
                <w:sz w:val="16"/>
              </w:rPr>
            </w:pPr>
          </w:p>
        </w:tc>
      </w:tr>
      <w:tr>
        <w:trPr>
          <w:trHeight w:val="239" w:hRule="atLeast"/>
        </w:trPr>
        <w:tc>
          <w:tcPr>
            <w:tcW w:w="4603" w:type="dxa"/>
            <w:shd w:val="clear" w:color="auto" w:fill="CCFFFF"/>
          </w:tcPr>
          <w:p>
            <w:pPr>
              <w:pStyle w:val="TableParagraph"/>
              <w:spacing w:line="168" w:lineRule="exact" w:before="51"/>
              <w:rPr>
                <w:b/>
                <w:sz w:val="16"/>
              </w:rPr>
            </w:pPr>
            <w:r>
              <w:rPr>
                <w:b/>
                <w:sz w:val="16"/>
              </w:rPr>
              <w:t>PŘÍPUSTNÉ VYUŽITÍ</w:t>
            </w:r>
          </w:p>
        </w:tc>
        <w:tc>
          <w:tcPr>
            <w:tcW w:w="5035" w:type="dxa"/>
            <w:shd w:val="clear" w:color="auto" w:fill="CCFFFF"/>
          </w:tcPr>
          <w:p>
            <w:pPr>
              <w:pStyle w:val="TableParagraph"/>
              <w:ind w:left="0"/>
              <w:rPr>
                <w:rFonts w:ascii="Times New Roman"/>
                <w:sz w:val="16"/>
              </w:rPr>
            </w:pPr>
          </w:p>
        </w:tc>
      </w:tr>
      <w:tr>
        <w:trPr>
          <w:trHeight w:val="241" w:hRule="atLeast"/>
        </w:trPr>
        <w:tc>
          <w:tcPr>
            <w:tcW w:w="4603" w:type="dxa"/>
          </w:tcPr>
          <w:p>
            <w:pPr>
              <w:pStyle w:val="TableParagraph"/>
              <w:spacing w:line="171" w:lineRule="exact" w:before="51"/>
              <w:rPr>
                <w:sz w:val="16"/>
              </w:rPr>
            </w:pPr>
            <w:r>
              <w:rPr>
                <w:b/>
                <w:sz w:val="16"/>
              </w:rPr>
              <w:t>smíšené funkce </w:t>
            </w:r>
            <w:r>
              <w:rPr>
                <w:sz w:val="16"/>
              </w:rPr>
              <w:t>- domy smíšené funkce</w:t>
            </w:r>
          </w:p>
        </w:tc>
        <w:tc>
          <w:tcPr>
            <w:tcW w:w="5035" w:type="dxa"/>
          </w:tcPr>
          <w:p>
            <w:pPr>
              <w:pStyle w:val="TableParagraph"/>
              <w:ind w:left="0"/>
              <w:rPr>
                <w:rFonts w:ascii="Times New Roman"/>
                <w:sz w:val="16"/>
              </w:rPr>
            </w:pPr>
          </w:p>
        </w:tc>
      </w:tr>
      <w:tr>
        <w:trPr>
          <w:trHeight w:val="424" w:hRule="atLeast"/>
        </w:trPr>
        <w:tc>
          <w:tcPr>
            <w:tcW w:w="4603" w:type="dxa"/>
          </w:tcPr>
          <w:p>
            <w:pPr>
              <w:pStyle w:val="TableParagraph"/>
              <w:spacing w:line="180" w:lineRule="atLeast" w:before="51"/>
              <w:ind w:right="371"/>
              <w:rPr>
                <w:sz w:val="16"/>
              </w:rPr>
            </w:pPr>
            <w:r>
              <w:rPr>
                <w:b/>
                <w:sz w:val="16"/>
              </w:rPr>
              <w:t>specifické bydlení </w:t>
            </w:r>
            <w:r>
              <w:rPr>
                <w:sz w:val="16"/>
              </w:rPr>
              <w:t>- zejména domovy důchodců, domy s pečovatelskou službou, hospice</w:t>
            </w:r>
          </w:p>
        </w:tc>
        <w:tc>
          <w:tcPr>
            <w:tcW w:w="5035" w:type="dxa"/>
          </w:tcPr>
          <w:p>
            <w:pPr>
              <w:pStyle w:val="TableParagraph"/>
              <w:ind w:left="0"/>
              <w:rPr>
                <w:rFonts w:ascii="Times New Roman"/>
                <w:sz w:val="16"/>
              </w:rPr>
            </w:pPr>
          </w:p>
        </w:tc>
      </w:tr>
      <w:tr>
        <w:trPr>
          <w:trHeight w:val="424" w:hRule="atLeast"/>
        </w:trPr>
        <w:tc>
          <w:tcPr>
            <w:tcW w:w="4603" w:type="dxa"/>
          </w:tcPr>
          <w:p>
            <w:pPr>
              <w:pStyle w:val="TableParagraph"/>
              <w:spacing w:line="180" w:lineRule="atLeast" w:before="51"/>
              <w:ind w:right="629"/>
              <w:rPr>
                <w:sz w:val="16"/>
              </w:rPr>
            </w:pPr>
            <w:r>
              <w:rPr>
                <w:b/>
                <w:sz w:val="16"/>
              </w:rPr>
              <w:t>ubytování </w:t>
            </w:r>
            <w:r>
              <w:rPr>
                <w:sz w:val="16"/>
              </w:rPr>
              <w:t>- zejména koleje, ubytovny, motely, hotely, penziony</w:t>
            </w:r>
          </w:p>
        </w:tc>
        <w:tc>
          <w:tcPr>
            <w:tcW w:w="5035" w:type="dxa"/>
          </w:tcPr>
          <w:p>
            <w:pPr>
              <w:pStyle w:val="TableParagraph"/>
              <w:ind w:left="0"/>
              <w:rPr>
                <w:rFonts w:ascii="Times New Roman"/>
                <w:sz w:val="16"/>
              </w:rPr>
            </w:pPr>
          </w:p>
        </w:tc>
      </w:tr>
      <w:tr>
        <w:trPr>
          <w:trHeight w:val="793" w:hRule="atLeast"/>
        </w:trPr>
        <w:tc>
          <w:tcPr>
            <w:tcW w:w="4603" w:type="dxa"/>
          </w:tcPr>
          <w:p>
            <w:pPr>
              <w:pStyle w:val="TableParagraph"/>
              <w:spacing w:before="51"/>
              <w:ind w:right="175"/>
              <w:rPr>
                <w:sz w:val="16"/>
              </w:rPr>
            </w:pPr>
            <w:r>
              <w:rPr>
                <w:b/>
                <w:sz w:val="16"/>
              </w:rPr>
              <w:t>občanské vybavení </w:t>
            </w:r>
            <w:r>
              <w:rPr>
                <w:sz w:val="16"/>
              </w:rPr>
              <w:t>- zejména předškolní a školní výchova, vyšší vzdělávání, věda, výzkum, kultura, sport, sociální a zdravotní služby, komerční služby, stravování, veřejná</w:t>
            </w:r>
          </w:p>
          <w:p>
            <w:pPr>
              <w:pStyle w:val="TableParagraph"/>
              <w:spacing w:line="168" w:lineRule="exact" w:before="2"/>
              <w:rPr>
                <w:sz w:val="16"/>
              </w:rPr>
            </w:pPr>
            <w:r>
              <w:rPr>
                <w:sz w:val="16"/>
              </w:rPr>
              <w:t>správa, bezpečnost, výstavnictví, zábavní aktivity</w:t>
            </w:r>
          </w:p>
        </w:tc>
        <w:tc>
          <w:tcPr>
            <w:tcW w:w="5035" w:type="dxa"/>
          </w:tcPr>
          <w:p>
            <w:pPr>
              <w:pStyle w:val="TableParagraph"/>
              <w:ind w:left="0"/>
              <w:rPr>
                <w:rFonts w:ascii="Times New Roman"/>
                <w:sz w:val="16"/>
              </w:rPr>
            </w:pPr>
          </w:p>
        </w:tc>
      </w:tr>
      <w:tr>
        <w:trPr>
          <w:trHeight w:val="239" w:hRule="atLeast"/>
        </w:trPr>
        <w:tc>
          <w:tcPr>
            <w:tcW w:w="4603" w:type="dxa"/>
          </w:tcPr>
          <w:p>
            <w:pPr>
              <w:pStyle w:val="TableParagraph"/>
              <w:spacing w:line="168" w:lineRule="exact" w:before="51"/>
              <w:rPr>
                <w:b/>
                <w:sz w:val="16"/>
              </w:rPr>
            </w:pPr>
            <w:r>
              <w:rPr>
                <w:b/>
                <w:sz w:val="16"/>
              </w:rPr>
              <w:t>komerční administrativa</w:t>
            </w:r>
          </w:p>
        </w:tc>
        <w:tc>
          <w:tcPr>
            <w:tcW w:w="5035" w:type="dxa"/>
          </w:tcPr>
          <w:p>
            <w:pPr>
              <w:pStyle w:val="TableParagraph"/>
              <w:ind w:left="0"/>
              <w:rPr>
                <w:rFonts w:ascii="Times New Roman"/>
                <w:sz w:val="16"/>
              </w:rPr>
            </w:pPr>
          </w:p>
        </w:tc>
      </w:tr>
      <w:tr>
        <w:trPr>
          <w:trHeight w:val="1389" w:hRule="atLeast"/>
        </w:trPr>
        <w:tc>
          <w:tcPr>
            <w:tcW w:w="4603" w:type="dxa"/>
            <w:vMerge w:val="restart"/>
            <w:shd w:val="clear" w:color="auto" w:fill="CCFFFF"/>
          </w:tcPr>
          <w:p>
            <w:pPr>
              <w:pStyle w:val="TableParagraph"/>
              <w:spacing w:before="51"/>
              <w:rPr>
                <w:b/>
                <w:sz w:val="16"/>
              </w:rPr>
            </w:pPr>
            <w:r>
              <w:rPr>
                <w:b/>
                <w:sz w:val="16"/>
              </w:rPr>
              <w:t>PODMÍNĚNĚ PŘÍPUSTNÉ VYUŽITÍ</w:t>
            </w:r>
          </w:p>
        </w:tc>
        <w:tc>
          <w:tcPr>
            <w:tcW w:w="5035" w:type="dxa"/>
            <w:shd w:val="clear" w:color="auto" w:fill="CCFFFF"/>
          </w:tcPr>
          <w:p>
            <w:pPr>
              <w:pStyle w:val="TableParagraph"/>
              <w:spacing w:line="244" w:lineRule="auto" w:before="51"/>
              <w:ind w:right="260"/>
              <w:rPr>
                <w:sz w:val="16"/>
              </w:rPr>
            </w:pPr>
            <w:r>
              <w:rPr>
                <w:b/>
                <w:sz w:val="16"/>
              </w:rPr>
              <w:t>obecné podmínky: </w:t>
            </w:r>
            <w:r>
              <w:rPr>
                <w:sz w:val="16"/>
              </w:rPr>
              <w:t>prokázat přiměřenost jeho dopadů ve vztahu k hlavnímu a přípustnému využití z hlediska:</w:t>
            </w:r>
          </w:p>
          <w:p>
            <w:pPr>
              <w:pStyle w:val="TableParagraph"/>
              <w:spacing w:before="54"/>
              <w:rPr>
                <w:sz w:val="16"/>
              </w:rPr>
            </w:pPr>
            <w:r>
              <w:rPr>
                <w:sz w:val="16"/>
              </w:rPr>
              <w:t>významu v širším území</w:t>
            </w:r>
          </w:p>
          <w:p>
            <w:pPr>
              <w:pStyle w:val="TableParagraph"/>
              <w:spacing w:line="312" w:lineRule="auto" w:before="56"/>
              <w:ind w:right="1496"/>
              <w:rPr>
                <w:sz w:val="16"/>
              </w:rPr>
            </w:pPr>
            <w:r>
              <w:rPr>
                <w:sz w:val="16"/>
              </w:rPr>
              <w:t>narušení kvality prostředí resp. pohody bydlení charakteru a kapacity napojení na infrastrukturu</w:t>
            </w:r>
          </w:p>
          <w:p>
            <w:pPr>
              <w:pStyle w:val="TableParagraph"/>
              <w:spacing w:line="166" w:lineRule="exact" w:before="4"/>
              <w:rPr>
                <w:sz w:val="16"/>
              </w:rPr>
            </w:pPr>
            <w:r>
              <w:rPr>
                <w:sz w:val="16"/>
              </w:rPr>
              <w:t>vyvolaných omezení ve smyslu hygienických a dalších předpisů</w:t>
            </w:r>
          </w:p>
        </w:tc>
      </w:tr>
      <w:tr>
        <w:trPr>
          <w:trHeight w:val="241" w:hRule="atLeast"/>
        </w:trPr>
        <w:tc>
          <w:tcPr>
            <w:tcW w:w="4603" w:type="dxa"/>
            <w:vMerge/>
            <w:tcBorders>
              <w:top w:val="nil"/>
            </w:tcBorders>
            <w:shd w:val="clear" w:color="auto" w:fill="CCFFFF"/>
          </w:tcPr>
          <w:p>
            <w:pPr>
              <w:rPr>
                <w:sz w:val="2"/>
                <w:szCs w:val="2"/>
              </w:rPr>
            </w:pPr>
          </w:p>
        </w:tc>
        <w:tc>
          <w:tcPr>
            <w:tcW w:w="5035" w:type="dxa"/>
            <w:shd w:val="clear" w:color="auto" w:fill="CCFFFF"/>
          </w:tcPr>
          <w:p>
            <w:pPr>
              <w:pStyle w:val="TableParagraph"/>
              <w:spacing w:line="171" w:lineRule="exact" w:before="51"/>
              <w:rPr>
                <w:b/>
                <w:sz w:val="16"/>
              </w:rPr>
            </w:pPr>
            <w:r>
              <w:rPr>
                <w:b/>
                <w:sz w:val="16"/>
              </w:rPr>
              <w:t>specifické podmínky:</w:t>
            </w:r>
          </w:p>
        </w:tc>
      </w:tr>
      <w:tr>
        <w:trPr>
          <w:trHeight w:val="486" w:hRule="atLeast"/>
        </w:trPr>
        <w:tc>
          <w:tcPr>
            <w:tcW w:w="4603" w:type="dxa"/>
          </w:tcPr>
          <w:p>
            <w:pPr>
              <w:pStyle w:val="TableParagraph"/>
              <w:spacing w:before="106"/>
              <w:rPr>
                <w:sz w:val="16"/>
              </w:rPr>
            </w:pPr>
            <w:r>
              <w:rPr>
                <w:b/>
                <w:sz w:val="16"/>
              </w:rPr>
              <w:t>občanské vybavení </w:t>
            </w:r>
            <w:r>
              <w:rPr>
                <w:sz w:val="16"/>
              </w:rPr>
              <w:t>- obchodní prodej</w:t>
            </w:r>
          </w:p>
        </w:tc>
        <w:tc>
          <w:tcPr>
            <w:tcW w:w="5035" w:type="dxa"/>
          </w:tcPr>
          <w:p>
            <w:pPr>
              <w:pStyle w:val="TableParagraph"/>
              <w:spacing w:before="56"/>
              <w:rPr>
                <w:sz w:val="16"/>
              </w:rPr>
            </w:pPr>
            <w:r>
              <w:rPr>
                <w:sz w:val="16"/>
              </w:rPr>
              <w:t>max. velikost pozemku 4 000 m</w:t>
            </w:r>
            <w:r>
              <w:rPr>
                <w:sz w:val="16"/>
                <w:vertAlign w:val="superscript"/>
              </w:rPr>
              <w:t>2</w:t>
            </w:r>
          </w:p>
        </w:tc>
      </w:tr>
      <w:tr>
        <w:trPr>
          <w:trHeight w:val="666" w:hRule="atLeast"/>
        </w:trPr>
        <w:tc>
          <w:tcPr>
            <w:tcW w:w="4603" w:type="dxa"/>
          </w:tcPr>
          <w:p>
            <w:pPr>
              <w:pStyle w:val="TableParagraph"/>
              <w:spacing w:before="106"/>
              <w:rPr>
                <w:sz w:val="16"/>
              </w:rPr>
            </w:pPr>
            <w:r>
              <w:rPr>
                <w:b/>
                <w:sz w:val="16"/>
              </w:rPr>
              <w:t>dopravní vybavení </w:t>
            </w:r>
            <w:r>
              <w:rPr>
                <w:sz w:val="16"/>
              </w:rPr>
              <w:t>- zejména veřejná parkoviště a</w:t>
            </w:r>
          </w:p>
          <w:p>
            <w:pPr>
              <w:pStyle w:val="TableParagraph"/>
              <w:spacing w:line="180" w:lineRule="atLeast" w:before="3"/>
              <w:ind w:right="344"/>
              <w:rPr>
                <w:sz w:val="16"/>
              </w:rPr>
            </w:pPr>
            <w:r>
              <w:rPr>
                <w:sz w:val="16"/>
              </w:rPr>
              <w:t>parkovací objekty OA a autobusů, terminály VDO, čerpací stanice pohonných hmot</w:t>
            </w:r>
          </w:p>
        </w:tc>
        <w:tc>
          <w:tcPr>
            <w:tcW w:w="5035" w:type="dxa"/>
          </w:tcPr>
          <w:p>
            <w:pPr>
              <w:pStyle w:val="TableParagraph"/>
              <w:ind w:left="0"/>
              <w:rPr>
                <w:rFonts w:ascii="Times New Roman"/>
                <w:sz w:val="16"/>
              </w:rPr>
            </w:pPr>
          </w:p>
        </w:tc>
      </w:tr>
      <w:tr>
        <w:trPr>
          <w:trHeight w:val="294" w:hRule="atLeast"/>
        </w:trPr>
        <w:tc>
          <w:tcPr>
            <w:tcW w:w="4603" w:type="dxa"/>
          </w:tcPr>
          <w:p>
            <w:pPr>
              <w:pStyle w:val="TableParagraph"/>
              <w:spacing w:line="168" w:lineRule="exact" w:before="106"/>
              <w:rPr>
                <w:b/>
                <w:sz w:val="16"/>
              </w:rPr>
            </w:pPr>
            <w:r>
              <w:rPr>
                <w:b/>
                <w:sz w:val="16"/>
              </w:rPr>
              <w:t>stavby a zařízení pro reklamu</w:t>
            </w:r>
          </w:p>
        </w:tc>
        <w:tc>
          <w:tcPr>
            <w:tcW w:w="5035" w:type="dxa"/>
          </w:tcPr>
          <w:p>
            <w:pPr>
              <w:pStyle w:val="TableParagraph"/>
              <w:ind w:left="0"/>
              <w:rPr>
                <w:rFonts w:ascii="Times New Roman"/>
                <w:sz w:val="16"/>
              </w:rPr>
            </w:pPr>
          </w:p>
        </w:tc>
      </w:tr>
      <w:tr>
        <w:trPr>
          <w:trHeight w:val="481" w:hRule="atLeast"/>
        </w:trPr>
        <w:tc>
          <w:tcPr>
            <w:tcW w:w="4603" w:type="dxa"/>
          </w:tcPr>
          <w:p>
            <w:pPr>
              <w:pStyle w:val="TableParagraph"/>
              <w:spacing w:line="182" w:lineRule="exact" w:before="113"/>
              <w:rPr>
                <w:b/>
                <w:sz w:val="16"/>
              </w:rPr>
            </w:pPr>
            <w:r>
              <w:rPr>
                <w:b/>
                <w:sz w:val="16"/>
              </w:rPr>
              <w:t>liniové stavby technické infrastruktury nadřazených systémů</w:t>
            </w:r>
          </w:p>
        </w:tc>
        <w:tc>
          <w:tcPr>
            <w:tcW w:w="5035" w:type="dxa"/>
          </w:tcPr>
          <w:p>
            <w:pPr>
              <w:pStyle w:val="TableParagraph"/>
              <w:spacing w:before="111"/>
              <w:rPr>
                <w:sz w:val="16"/>
              </w:rPr>
            </w:pPr>
            <w:r>
              <w:rPr>
                <w:sz w:val="16"/>
              </w:rPr>
              <w:t>souvisí bezprostředně s provozem města</w:t>
            </w:r>
          </w:p>
        </w:tc>
      </w:tr>
      <w:tr>
        <w:trPr>
          <w:trHeight w:val="594" w:hRule="atLeast"/>
        </w:trPr>
        <w:tc>
          <w:tcPr>
            <w:tcW w:w="4603" w:type="dxa"/>
          </w:tcPr>
          <w:p>
            <w:pPr>
              <w:pStyle w:val="TableParagraph"/>
              <w:spacing w:before="106"/>
              <w:ind w:right="576"/>
              <w:rPr>
                <w:b/>
                <w:sz w:val="16"/>
              </w:rPr>
            </w:pPr>
            <w:r>
              <w:rPr>
                <w:b/>
                <w:sz w:val="16"/>
              </w:rPr>
              <w:t>plošně nenáročná zařízení technické infrastruktury nadřazených systémů</w:t>
            </w:r>
          </w:p>
        </w:tc>
        <w:tc>
          <w:tcPr>
            <w:tcW w:w="5035" w:type="dxa"/>
          </w:tcPr>
          <w:p>
            <w:pPr>
              <w:pStyle w:val="TableParagraph"/>
              <w:spacing w:before="109"/>
              <w:rPr>
                <w:sz w:val="16"/>
              </w:rPr>
            </w:pPr>
            <w:r>
              <w:rPr>
                <w:sz w:val="16"/>
              </w:rPr>
              <w:t>plocha nepřesáhne 600 m</w:t>
            </w:r>
            <w:r>
              <w:rPr>
                <w:sz w:val="16"/>
                <w:vertAlign w:val="superscript"/>
              </w:rPr>
              <w:t>2</w:t>
            </w:r>
          </w:p>
          <w:p>
            <w:pPr>
              <w:pStyle w:val="TableParagraph"/>
              <w:spacing w:line="168" w:lineRule="exact" w:before="113"/>
              <w:rPr>
                <w:sz w:val="16"/>
              </w:rPr>
            </w:pPr>
            <w:r>
              <w:rPr>
                <w:sz w:val="16"/>
              </w:rPr>
              <w:t>souvisí bezprostředně s provozem města</w:t>
            </w:r>
          </w:p>
        </w:tc>
      </w:tr>
      <w:tr>
        <w:trPr>
          <w:trHeight w:val="5099" w:hRule="atLeast"/>
        </w:trPr>
        <w:tc>
          <w:tcPr>
            <w:tcW w:w="4603" w:type="dxa"/>
          </w:tcPr>
          <w:p>
            <w:pPr>
              <w:pStyle w:val="TableParagraph"/>
              <w:spacing w:before="106"/>
              <w:rPr>
                <w:b/>
                <w:sz w:val="16"/>
              </w:rPr>
            </w:pPr>
            <w:r>
              <w:rPr>
                <w:b/>
                <w:sz w:val="16"/>
              </w:rPr>
              <w:t>základní vybavenost území</w:t>
            </w:r>
          </w:p>
          <w:p>
            <w:pPr>
              <w:pStyle w:val="TableParagraph"/>
              <w:spacing w:before="61"/>
              <w:ind w:right="450"/>
              <w:rPr>
                <w:sz w:val="16"/>
              </w:rPr>
            </w:pPr>
            <w:r>
              <w:rPr>
                <w:sz w:val="16"/>
              </w:rPr>
              <w:t>terénní úpravy kromě těžebních prací a skládek odpadů, opěrné zdi, propustky a přemostění, oplocení</w:t>
            </w:r>
          </w:p>
          <w:p>
            <w:pPr>
              <w:pStyle w:val="TableParagraph"/>
              <w:spacing w:before="57"/>
              <w:ind w:right="189" w:hanging="1"/>
              <w:rPr>
                <w:sz w:val="16"/>
              </w:rPr>
            </w:pPr>
            <w:r>
              <w:rPr>
                <w:sz w:val="16"/>
              </w:rPr>
              <w:t>vodní toky a vodní plochy do 300 m</w:t>
            </w:r>
            <w:r>
              <w:rPr>
                <w:sz w:val="16"/>
                <w:vertAlign w:val="superscript"/>
              </w:rPr>
              <w:t>2</w:t>
            </w:r>
            <w:r>
              <w:rPr>
                <w:sz w:val="16"/>
                <w:vertAlign w:val="baseline"/>
              </w:rPr>
              <w:t>, parkové, sadovnické a zahradnické úpravy, pobytové louky, plošné a liniové prvky ochranné a doprovodné zeleně vč. biokoridorů ÚSES a IP</w:t>
            </w:r>
          </w:p>
          <w:p>
            <w:pPr>
              <w:pStyle w:val="TableParagraph"/>
              <w:spacing w:before="55"/>
              <w:ind w:right="139" w:hanging="1"/>
              <w:rPr>
                <w:sz w:val="16"/>
              </w:rPr>
            </w:pPr>
            <w:r>
              <w:rPr>
                <w:sz w:val="16"/>
              </w:rPr>
              <w:t>veřejná prostranství - místní komunikace zpřístupňující objekty a pozemky v ploše, komunikace, pobytové prostory s vyloučením motorové dopravy, zastávky VDO, parkování</w:t>
            </w:r>
            <w:r>
              <w:rPr>
                <w:spacing w:val="-22"/>
                <w:sz w:val="16"/>
              </w:rPr>
              <w:t> </w:t>
            </w:r>
            <w:r>
              <w:rPr>
                <w:sz w:val="16"/>
              </w:rPr>
              <w:t>OA</w:t>
            </w:r>
          </w:p>
          <w:p>
            <w:pPr>
              <w:pStyle w:val="TableParagraph"/>
              <w:spacing w:before="58"/>
              <w:ind w:right="156"/>
              <w:rPr>
                <w:sz w:val="16"/>
              </w:rPr>
            </w:pPr>
            <w:r>
              <w:rPr>
                <w:sz w:val="16"/>
              </w:rPr>
              <w:t>technická infrastruktura - liniové stavby a plošně nenáročná zařízení vodovodů, kanalizace, produktovodů, energetických zařízení vč. obnovitelných zdrojů, elektronických</w:t>
            </w:r>
            <w:r>
              <w:rPr>
                <w:spacing w:val="-22"/>
                <w:sz w:val="16"/>
              </w:rPr>
              <w:t> </w:t>
            </w:r>
            <w:r>
              <w:rPr>
                <w:sz w:val="16"/>
              </w:rPr>
              <w:t>komunikací</w:t>
            </w:r>
          </w:p>
          <w:p>
            <w:pPr>
              <w:pStyle w:val="TableParagraph"/>
              <w:spacing w:before="57"/>
              <w:ind w:right="361"/>
              <w:rPr>
                <w:sz w:val="16"/>
              </w:rPr>
            </w:pPr>
            <w:r>
              <w:rPr>
                <w:sz w:val="16"/>
              </w:rPr>
              <w:t>správa a údržba, technologická zařízení, přístřešky pro skladování a manipulaci nesloužící pro hořlavé, chemické látky, které mohou způsobit znečištění životního prostředí</w:t>
            </w:r>
          </w:p>
          <w:p>
            <w:pPr>
              <w:pStyle w:val="TableParagraph"/>
              <w:spacing w:before="58"/>
              <w:ind w:right="610"/>
              <w:rPr>
                <w:sz w:val="16"/>
              </w:rPr>
            </w:pPr>
            <w:r>
              <w:rPr>
                <w:sz w:val="16"/>
              </w:rPr>
              <w:t>rekreace - hřiště, mobiliář, přístřešky pro obsluhu, občerstvení a hygienu, stavby drobné architektury bez pobytových místností</w:t>
            </w:r>
          </w:p>
          <w:p>
            <w:pPr>
              <w:pStyle w:val="TableParagraph"/>
              <w:spacing w:before="55"/>
              <w:ind w:right="140"/>
              <w:rPr>
                <w:sz w:val="16"/>
              </w:rPr>
            </w:pPr>
            <w:r>
              <w:rPr>
                <w:sz w:val="16"/>
              </w:rPr>
              <w:t>pěstitelská a chovatelská činnost - skleníky, kotce, přístřešky pro hospodaření</w:t>
            </w:r>
          </w:p>
          <w:p>
            <w:pPr>
              <w:pStyle w:val="TableParagraph"/>
              <w:spacing w:line="316" w:lineRule="auto" w:before="57"/>
              <w:ind w:right="726" w:hanging="1"/>
              <w:rPr>
                <w:sz w:val="16"/>
              </w:rPr>
            </w:pPr>
            <w:r>
              <w:rPr>
                <w:sz w:val="16"/>
              </w:rPr>
              <w:t>informační zařízení do 8 m</w:t>
            </w:r>
            <w:r>
              <w:rPr>
                <w:sz w:val="16"/>
                <w:vertAlign w:val="superscript"/>
              </w:rPr>
              <w:t>2</w:t>
            </w:r>
            <w:r>
              <w:rPr>
                <w:sz w:val="16"/>
                <w:vertAlign w:val="baseline"/>
              </w:rPr>
              <w:t> informační plochy ochrana před povodněmi, erozí, hlukem, exhalacemi</w:t>
            </w:r>
          </w:p>
          <w:p>
            <w:pPr>
              <w:pStyle w:val="TableParagraph"/>
              <w:spacing w:line="184" w:lineRule="exact" w:before="2"/>
              <w:ind w:right="201"/>
              <w:rPr>
                <w:sz w:val="16"/>
              </w:rPr>
            </w:pPr>
            <w:r>
              <w:rPr>
                <w:sz w:val="16"/>
              </w:rPr>
              <w:t>integrované stavby a zařízení: bydlení správce, občanské vybavení, nerušící výroba, chovatelská a pěstitelská činnost</w:t>
            </w:r>
          </w:p>
        </w:tc>
        <w:tc>
          <w:tcPr>
            <w:tcW w:w="5035" w:type="dxa"/>
          </w:tcPr>
          <w:p>
            <w:pPr>
              <w:pStyle w:val="TableParagraph"/>
              <w:spacing w:before="116"/>
              <w:ind w:right="918"/>
              <w:rPr>
                <w:sz w:val="16"/>
              </w:rPr>
            </w:pPr>
            <w:r>
              <w:rPr>
                <w:sz w:val="16"/>
              </w:rPr>
              <w:t>slouží bezprostředně k zajištění hlavního, přípustného a podmíněně přípustného využití dané plochy</w:t>
            </w:r>
          </w:p>
          <w:p>
            <w:pPr>
              <w:pStyle w:val="TableParagraph"/>
              <w:spacing w:before="57"/>
              <w:ind w:right="223"/>
              <w:rPr>
                <w:sz w:val="16"/>
              </w:rPr>
            </w:pPr>
            <w:r>
              <w:rPr>
                <w:sz w:val="16"/>
              </w:rPr>
              <w:t>budou uplatněny podmínky prostorového uspořádání odpovídající podmínkám prostorového uspořádání dané plochy</w:t>
            </w:r>
          </w:p>
        </w:tc>
      </w:tr>
      <w:tr>
        <w:trPr>
          <w:trHeight w:val="297" w:hRule="atLeast"/>
        </w:trPr>
        <w:tc>
          <w:tcPr>
            <w:tcW w:w="4603" w:type="dxa"/>
            <w:shd w:val="clear" w:color="auto" w:fill="CCFFFF"/>
          </w:tcPr>
          <w:p>
            <w:pPr>
              <w:pStyle w:val="TableParagraph"/>
              <w:spacing w:line="168" w:lineRule="exact" w:before="109"/>
              <w:rPr>
                <w:b/>
                <w:sz w:val="16"/>
              </w:rPr>
            </w:pPr>
            <w:r>
              <w:rPr>
                <w:b/>
                <w:sz w:val="16"/>
              </w:rPr>
              <w:t>NEPŘÍPUSTNÉ VYUŽITÍ</w:t>
            </w:r>
          </w:p>
        </w:tc>
        <w:tc>
          <w:tcPr>
            <w:tcW w:w="5035" w:type="dxa"/>
            <w:shd w:val="clear" w:color="auto" w:fill="CCFFFF"/>
          </w:tcPr>
          <w:p>
            <w:pPr>
              <w:pStyle w:val="TableParagraph"/>
              <w:ind w:left="0"/>
              <w:rPr>
                <w:rFonts w:ascii="Times New Roman"/>
                <w:sz w:val="16"/>
              </w:rPr>
            </w:pPr>
          </w:p>
        </w:tc>
      </w:tr>
      <w:tr>
        <w:trPr>
          <w:trHeight w:val="724" w:hRule="atLeast"/>
        </w:trPr>
        <w:tc>
          <w:tcPr>
            <w:tcW w:w="4603" w:type="dxa"/>
          </w:tcPr>
          <w:p>
            <w:pPr>
              <w:pStyle w:val="TableParagraph"/>
              <w:spacing w:before="109"/>
              <w:rPr>
                <w:b/>
                <w:sz w:val="16"/>
              </w:rPr>
            </w:pPr>
            <w:r>
              <w:rPr>
                <w:b/>
                <w:sz w:val="16"/>
              </w:rPr>
              <w:t>zejména využití, u kterého existuje riziko, že:</w:t>
            </w:r>
          </w:p>
          <w:p>
            <w:pPr>
              <w:pStyle w:val="TableParagraph"/>
              <w:spacing w:line="180" w:lineRule="atLeast" w:before="58"/>
              <w:ind w:right="397"/>
              <w:rPr>
                <w:sz w:val="16"/>
              </w:rPr>
            </w:pPr>
            <w:r>
              <w:rPr>
                <w:sz w:val="16"/>
              </w:rPr>
              <w:t>naruší pohodu bydlení a kvalitu prostředí plochy smíšené centrální</w:t>
            </w:r>
          </w:p>
        </w:tc>
        <w:tc>
          <w:tcPr>
            <w:tcW w:w="5035" w:type="dxa"/>
          </w:tcPr>
          <w:p>
            <w:pPr>
              <w:pStyle w:val="TableParagraph"/>
              <w:ind w:left="0"/>
              <w:rPr>
                <w:rFonts w:ascii="Times New Roman"/>
                <w:sz w:val="16"/>
              </w:rPr>
            </w:pPr>
          </w:p>
        </w:tc>
      </w:tr>
    </w:tbl>
    <w:p>
      <w:pPr>
        <w:spacing w:after="0"/>
        <w:rPr>
          <w:rFonts w:ascii="Times New Roman"/>
          <w:sz w:val="16"/>
        </w:rPr>
        <w:sectPr>
          <w:pgSz w:w="11900" w:h="16840"/>
          <w:pgMar w:header="561" w:footer="582" w:top="760" w:bottom="780" w:left="960" w:right="980"/>
        </w:sectPr>
      </w:pPr>
    </w:p>
    <w:p>
      <w:pPr>
        <w:pStyle w:val="BodyText"/>
        <w:ind w:left="0" w:firstLine="0"/>
        <w:jc w:val="left"/>
        <w:rPr>
          <w:b/>
          <w:sz w:val="20"/>
        </w:rPr>
      </w:pPr>
    </w:p>
    <w:p>
      <w:pPr>
        <w:pStyle w:val="BodyText"/>
        <w:spacing w:before="4"/>
        <w:ind w:left="0" w:firstLine="0"/>
        <w:jc w:val="left"/>
        <w:rPr>
          <w:b/>
          <w:sz w:val="15"/>
        </w:r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03"/>
        <w:gridCol w:w="5035"/>
      </w:tblGrid>
      <w:tr>
        <w:trPr>
          <w:trHeight w:val="311" w:hRule="atLeast"/>
        </w:trPr>
        <w:tc>
          <w:tcPr>
            <w:tcW w:w="4603" w:type="dxa"/>
            <w:shd w:val="clear" w:color="auto" w:fill="32CCCC"/>
          </w:tcPr>
          <w:p>
            <w:pPr>
              <w:pStyle w:val="TableParagraph"/>
              <w:spacing w:line="237" w:lineRule="exact" w:before="55"/>
              <w:rPr>
                <w:b/>
                <w:sz w:val="22"/>
              </w:rPr>
            </w:pPr>
            <w:r>
              <w:rPr>
                <w:b/>
                <w:sz w:val="22"/>
              </w:rPr>
              <w:t>PLOCHY OBČANSKÉHO VYBAVENÍ</w:t>
            </w:r>
          </w:p>
        </w:tc>
        <w:tc>
          <w:tcPr>
            <w:tcW w:w="5035" w:type="dxa"/>
            <w:shd w:val="clear" w:color="auto" w:fill="32CCCC"/>
          </w:tcPr>
          <w:p>
            <w:pPr>
              <w:pStyle w:val="TableParagraph"/>
              <w:spacing w:line="237" w:lineRule="exact" w:before="55"/>
              <w:rPr>
                <w:b/>
                <w:sz w:val="22"/>
              </w:rPr>
            </w:pPr>
            <w:r>
              <w:rPr>
                <w:b/>
                <w:w w:val="100"/>
                <w:sz w:val="22"/>
              </w:rPr>
              <w:t>O</w:t>
            </w:r>
          </w:p>
        </w:tc>
      </w:tr>
      <w:tr>
        <w:trPr>
          <w:trHeight w:val="239" w:hRule="atLeast"/>
        </w:trPr>
        <w:tc>
          <w:tcPr>
            <w:tcW w:w="4603" w:type="dxa"/>
            <w:shd w:val="clear" w:color="auto" w:fill="CCFFFF"/>
          </w:tcPr>
          <w:p>
            <w:pPr>
              <w:pStyle w:val="TableParagraph"/>
              <w:spacing w:line="166" w:lineRule="exact" w:before="53"/>
              <w:rPr>
                <w:sz w:val="16"/>
              </w:rPr>
            </w:pPr>
            <w:r>
              <w:rPr>
                <w:sz w:val="16"/>
              </w:rPr>
              <w:t>pozemky pro stavby, zařízení, úpravy, kultury, činnosti</w:t>
            </w:r>
          </w:p>
        </w:tc>
        <w:tc>
          <w:tcPr>
            <w:tcW w:w="5035" w:type="dxa"/>
            <w:shd w:val="clear" w:color="auto" w:fill="CCFFFF"/>
          </w:tcPr>
          <w:p>
            <w:pPr>
              <w:pStyle w:val="TableParagraph"/>
              <w:ind w:left="0"/>
              <w:rPr>
                <w:rFonts w:ascii="Times New Roman"/>
                <w:sz w:val="16"/>
              </w:rPr>
            </w:pPr>
          </w:p>
        </w:tc>
      </w:tr>
      <w:tr>
        <w:trPr>
          <w:trHeight w:val="241" w:hRule="atLeast"/>
        </w:trPr>
        <w:tc>
          <w:tcPr>
            <w:tcW w:w="4603" w:type="dxa"/>
            <w:shd w:val="clear" w:color="auto" w:fill="CCFFFF"/>
          </w:tcPr>
          <w:p>
            <w:pPr>
              <w:pStyle w:val="TableParagraph"/>
              <w:spacing w:line="171" w:lineRule="exact" w:before="51"/>
              <w:rPr>
                <w:b/>
                <w:sz w:val="16"/>
              </w:rPr>
            </w:pPr>
            <w:r>
              <w:rPr>
                <w:b/>
                <w:sz w:val="16"/>
              </w:rPr>
              <w:t>HLAVNÍ VYUŽITÍ</w:t>
            </w:r>
          </w:p>
        </w:tc>
        <w:tc>
          <w:tcPr>
            <w:tcW w:w="5035" w:type="dxa"/>
            <w:shd w:val="clear" w:color="auto" w:fill="CCFFFF"/>
          </w:tcPr>
          <w:p>
            <w:pPr>
              <w:pStyle w:val="TableParagraph"/>
              <w:ind w:left="0"/>
              <w:rPr>
                <w:rFonts w:ascii="Times New Roman"/>
                <w:sz w:val="16"/>
              </w:rPr>
            </w:pPr>
          </w:p>
        </w:tc>
      </w:tr>
      <w:tr>
        <w:trPr>
          <w:trHeight w:val="976" w:hRule="atLeast"/>
        </w:trPr>
        <w:tc>
          <w:tcPr>
            <w:tcW w:w="4603" w:type="dxa"/>
          </w:tcPr>
          <w:p>
            <w:pPr>
              <w:pStyle w:val="TableParagraph"/>
              <w:spacing w:before="51"/>
              <w:ind w:left="155"/>
              <w:rPr>
                <w:sz w:val="16"/>
              </w:rPr>
            </w:pPr>
            <w:r>
              <w:rPr>
                <w:b/>
                <w:sz w:val="16"/>
              </w:rPr>
              <w:t>občanské vybavení </w:t>
            </w:r>
            <w:r>
              <w:rPr>
                <w:sz w:val="16"/>
              </w:rPr>
              <w:t>- zejména předškolní a školní výchova, vyšší vzdělávání, věda, výzkum, kultura, sport, sociální a zdravotní služby, komerční služby, stravování, veřejná</w:t>
            </w:r>
          </w:p>
          <w:p>
            <w:pPr>
              <w:pStyle w:val="TableParagraph"/>
              <w:spacing w:line="182" w:lineRule="exact" w:before="7"/>
              <w:ind w:left="155" w:right="87"/>
              <w:rPr>
                <w:sz w:val="16"/>
              </w:rPr>
            </w:pPr>
            <w:r>
              <w:rPr>
                <w:sz w:val="16"/>
              </w:rPr>
              <w:t>správa, bezpečnost, výstavnictví, zábavní aktivity, zoologické a botanické expozice</w:t>
            </w:r>
          </w:p>
        </w:tc>
        <w:tc>
          <w:tcPr>
            <w:tcW w:w="5035" w:type="dxa"/>
          </w:tcPr>
          <w:p>
            <w:pPr>
              <w:pStyle w:val="TableParagraph"/>
              <w:ind w:left="0"/>
              <w:rPr>
                <w:rFonts w:ascii="Times New Roman"/>
                <w:sz w:val="16"/>
              </w:rPr>
            </w:pPr>
          </w:p>
        </w:tc>
      </w:tr>
      <w:tr>
        <w:trPr>
          <w:trHeight w:val="424" w:hRule="atLeast"/>
        </w:trPr>
        <w:tc>
          <w:tcPr>
            <w:tcW w:w="4603" w:type="dxa"/>
          </w:tcPr>
          <w:p>
            <w:pPr>
              <w:pStyle w:val="TableParagraph"/>
              <w:spacing w:line="180" w:lineRule="atLeast" w:before="51"/>
              <w:ind w:left="155" w:right="603"/>
              <w:rPr>
                <w:sz w:val="16"/>
              </w:rPr>
            </w:pPr>
            <w:r>
              <w:rPr>
                <w:b/>
                <w:sz w:val="16"/>
              </w:rPr>
              <w:t>ubytování </w:t>
            </w:r>
            <w:r>
              <w:rPr>
                <w:sz w:val="16"/>
              </w:rPr>
              <w:t>- zejména koleje, ubytovny, motely, hotely, penziony</w:t>
            </w:r>
          </w:p>
        </w:tc>
        <w:tc>
          <w:tcPr>
            <w:tcW w:w="5035" w:type="dxa"/>
          </w:tcPr>
          <w:p>
            <w:pPr>
              <w:pStyle w:val="TableParagraph"/>
              <w:ind w:left="0"/>
              <w:rPr>
                <w:rFonts w:ascii="Times New Roman"/>
                <w:sz w:val="16"/>
              </w:rPr>
            </w:pPr>
          </w:p>
        </w:tc>
      </w:tr>
      <w:tr>
        <w:trPr>
          <w:trHeight w:val="241" w:hRule="atLeast"/>
        </w:trPr>
        <w:tc>
          <w:tcPr>
            <w:tcW w:w="4603" w:type="dxa"/>
            <w:shd w:val="clear" w:color="auto" w:fill="CCFFFF"/>
          </w:tcPr>
          <w:p>
            <w:pPr>
              <w:pStyle w:val="TableParagraph"/>
              <w:spacing w:line="168" w:lineRule="exact" w:before="53"/>
              <w:rPr>
                <w:b/>
                <w:sz w:val="16"/>
              </w:rPr>
            </w:pPr>
            <w:r>
              <w:rPr>
                <w:b/>
                <w:sz w:val="16"/>
              </w:rPr>
              <w:t>PŘÍPUSTNÉ VYUŽITÍ</w:t>
            </w:r>
          </w:p>
        </w:tc>
        <w:tc>
          <w:tcPr>
            <w:tcW w:w="5035" w:type="dxa"/>
            <w:shd w:val="clear" w:color="auto" w:fill="CCFFFF"/>
          </w:tcPr>
          <w:p>
            <w:pPr>
              <w:pStyle w:val="TableParagraph"/>
              <w:ind w:left="0"/>
              <w:rPr>
                <w:rFonts w:ascii="Times New Roman"/>
                <w:sz w:val="16"/>
              </w:rPr>
            </w:pPr>
          </w:p>
        </w:tc>
      </w:tr>
      <w:tr>
        <w:trPr>
          <w:trHeight w:val="479" w:hRule="atLeast"/>
        </w:trPr>
        <w:tc>
          <w:tcPr>
            <w:tcW w:w="4603" w:type="dxa"/>
          </w:tcPr>
          <w:p>
            <w:pPr>
              <w:pStyle w:val="TableParagraph"/>
              <w:spacing w:line="180" w:lineRule="atLeast" w:before="106"/>
              <w:ind w:left="155" w:right="264"/>
              <w:rPr>
                <w:sz w:val="16"/>
              </w:rPr>
            </w:pPr>
            <w:r>
              <w:rPr>
                <w:b/>
                <w:sz w:val="16"/>
              </w:rPr>
              <w:t>zvláštní zájmy </w:t>
            </w:r>
            <w:r>
              <w:rPr>
                <w:sz w:val="16"/>
              </w:rPr>
              <w:t>- zejména bezpečnost, obrana státu, civilní ochrana, vězeňství, zvířecí útulky</w:t>
            </w:r>
          </w:p>
        </w:tc>
        <w:tc>
          <w:tcPr>
            <w:tcW w:w="5035" w:type="dxa"/>
          </w:tcPr>
          <w:p>
            <w:pPr>
              <w:pStyle w:val="TableParagraph"/>
              <w:ind w:left="0"/>
              <w:rPr>
                <w:rFonts w:ascii="Times New Roman"/>
                <w:sz w:val="16"/>
              </w:rPr>
            </w:pPr>
          </w:p>
        </w:tc>
      </w:tr>
      <w:tr>
        <w:trPr>
          <w:trHeight w:val="1389" w:hRule="atLeast"/>
        </w:trPr>
        <w:tc>
          <w:tcPr>
            <w:tcW w:w="4603" w:type="dxa"/>
            <w:shd w:val="clear" w:color="auto" w:fill="CCFFFF"/>
          </w:tcPr>
          <w:p>
            <w:pPr>
              <w:pStyle w:val="TableParagraph"/>
              <w:spacing w:before="53"/>
              <w:rPr>
                <w:b/>
                <w:sz w:val="16"/>
              </w:rPr>
            </w:pPr>
            <w:r>
              <w:rPr>
                <w:b/>
                <w:sz w:val="16"/>
              </w:rPr>
              <w:t>PODMÍNĚNĚ PŘÍPUSTNÉ VYUŽITÍ</w:t>
            </w:r>
          </w:p>
        </w:tc>
        <w:tc>
          <w:tcPr>
            <w:tcW w:w="5035" w:type="dxa"/>
            <w:shd w:val="clear" w:color="auto" w:fill="CCFFFF"/>
          </w:tcPr>
          <w:p>
            <w:pPr>
              <w:pStyle w:val="TableParagraph"/>
              <w:spacing w:before="53"/>
              <w:ind w:right="216"/>
              <w:rPr>
                <w:sz w:val="16"/>
              </w:rPr>
            </w:pPr>
            <w:r>
              <w:rPr>
                <w:b/>
                <w:sz w:val="16"/>
              </w:rPr>
              <w:t>obecné podmínky </w:t>
            </w:r>
            <w:r>
              <w:rPr>
                <w:sz w:val="16"/>
              </w:rPr>
              <w:t>- prokázat přiměřenost jeho dopadů ve vztahu k hlavnímu a přípustnému využití z hlediska:</w:t>
            </w:r>
          </w:p>
          <w:p>
            <w:pPr>
              <w:pStyle w:val="TableParagraph"/>
              <w:spacing w:before="60"/>
              <w:rPr>
                <w:sz w:val="16"/>
              </w:rPr>
            </w:pPr>
            <w:r>
              <w:rPr>
                <w:sz w:val="16"/>
              </w:rPr>
              <w:t>významu v širším území</w:t>
            </w:r>
          </w:p>
          <w:p>
            <w:pPr>
              <w:pStyle w:val="TableParagraph"/>
              <w:spacing w:line="316" w:lineRule="auto" w:before="56"/>
              <w:ind w:right="1496"/>
              <w:rPr>
                <w:sz w:val="16"/>
              </w:rPr>
            </w:pPr>
            <w:r>
              <w:rPr>
                <w:sz w:val="16"/>
              </w:rPr>
              <w:t>narušení kvality prostředí resp. pohody bydlení charakteru a kapacity napojení na infrastrukturu</w:t>
            </w:r>
          </w:p>
          <w:p>
            <w:pPr>
              <w:pStyle w:val="TableParagraph"/>
              <w:spacing w:line="163" w:lineRule="exact"/>
              <w:rPr>
                <w:sz w:val="16"/>
              </w:rPr>
            </w:pPr>
            <w:r>
              <w:rPr>
                <w:sz w:val="16"/>
              </w:rPr>
              <w:t>vyvolaných omezení ve smyslu hygienických a dalších předpisů</w:t>
            </w:r>
          </w:p>
        </w:tc>
      </w:tr>
      <w:tr>
        <w:trPr>
          <w:trHeight w:val="241" w:hRule="atLeast"/>
        </w:trPr>
        <w:tc>
          <w:tcPr>
            <w:tcW w:w="4603" w:type="dxa"/>
            <w:shd w:val="clear" w:color="auto" w:fill="CCFFFF"/>
          </w:tcPr>
          <w:p>
            <w:pPr>
              <w:pStyle w:val="TableParagraph"/>
              <w:spacing w:line="166" w:lineRule="exact" w:before="56"/>
              <w:rPr>
                <w:sz w:val="16"/>
              </w:rPr>
            </w:pPr>
            <w:r>
              <w:rPr>
                <w:sz w:val="16"/>
              </w:rPr>
              <w:t>činnosti, stavby, zařízení, úpravy, kultury</w:t>
            </w:r>
          </w:p>
        </w:tc>
        <w:tc>
          <w:tcPr>
            <w:tcW w:w="5035" w:type="dxa"/>
            <w:shd w:val="clear" w:color="auto" w:fill="CCFFFF"/>
          </w:tcPr>
          <w:p>
            <w:pPr>
              <w:pStyle w:val="TableParagraph"/>
              <w:spacing w:line="168" w:lineRule="exact" w:before="53"/>
              <w:rPr>
                <w:b/>
                <w:sz w:val="16"/>
              </w:rPr>
            </w:pPr>
            <w:r>
              <w:rPr>
                <w:b/>
                <w:sz w:val="16"/>
              </w:rPr>
              <w:t>specifické podmínky</w:t>
            </w:r>
          </w:p>
        </w:tc>
      </w:tr>
      <w:tr>
        <w:trPr>
          <w:trHeight w:val="481" w:hRule="atLeast"/>
        </w:trPr>
        <w:tc>
          <w:tcPr>
            <w:tcW w:w="4603" w:type="dxa"/>
          </w:tcPr>
          <w:p>
            <w:pPr>
              <w:pStyle w:val="TableParagraph"/>
              <w:spacing w:before="51"/>
              <w:ind w:left="155"/>
              <w:rPr>
                <w:sz w:val="16"/>
              </w:rPr>
            </w:pPr>
            <w:r>
              <w:rPr>
                <w:b/>
                <w:sz w:val="16"/>
              </w:rPr>
              <w:t>občanské vybavení </w:t>
            </w:r>
            <w:r>
              <w:rPr>
                <w:sz w:val="16"/>
              </w:rPr>
              <w:t>- obchodní prodej</w:t>
            </w:r>
          </w:p>
        </w:tc>
        <w:tc>
          <w:tcPr>
            <w:tcW w:w="5035" w:type="dxa"/>
          </w:tcPr>
          <w:p>
            <w:pPr>
              <w:pStyle w:val="TableParagraph"/>
              <w:spacing w:before="53"/>
              <w:rPr>
                <w:sz w:val="16"/>
              </w:rPr>
            </w:pPr>
            <w:r>
              <w:rPr>
                <w:sz w:val="16"/>
              </w:rPr>
              <w:t>slouží bezprostředně k zajištění hlavního využití dané plochy</w:t>
            </w:r>
          </w:p>
        </w:tc>
      </w:tr>
      <w:tr>
        <w:trPr>
          <w:trHeight w:val="609" w:hRule="atLeast"/>
        </w:trPr>
        <w:tc>
          <w:tcPr>
            <w:tcW w:w="4603" w:type="dxa"/>
          </w:tcPr>
          <w:p>
            <w:pPr>
              <w:pStyle w:val="TableParagraph"/>
              <w:spacing w:before="51"/>
              <w:ind w:left="155"/>
              <w:rPr>
                <w:sz w:val="16"/>
              </w:rPr>
            </w:pPr>
            <w:r>
              <w:rPr>
                <w:b/>
                <w:sz w:val="16"/>
              </w:rPr>
              <w:t>dopravní vybavení </w:t>
            </w:r>
            <w:r>
              <w:rPr>
                <w:sz w:val="16"/>
              </w:rPr>
              <w:t>- zejména veřejná parkoviště a parkovací</w:t>
            </w:r>
          </w:p>
          <w:p>
            <w:pPr>
              <w:pStyle w:val="TableParagraph"/>
              <w:spacing w:line="182" w:lineRule="exact" w:before="8"/>
              <w:ind w:left="155" w:right="505"/>
              <w:rPr>
                <w:sz w:val="16"/>
              </w:rPr>
            </w:pPr>
            <w:r>
              <w:rPr>
                <w:sz w:val="16"/>
              </w:rPr>
              <w:t>objekty OA a autobusů, terminály VDO, čerpací stanice pohonných hmot</w:t>
            </w:r>
          </w:p>
        </w:tc>
        <w:tc>
          <w:tcPr>
            <w:tcW w:w="5035" w:type="dxa"/>
          </w:tcPr>
          <w:p>
            <w:pPr>
              <w:pStyle w:val="TableParagraph"/>
              <w:spacing w:before="109"/>
              <w:rPr>
                <w:sz w:val="16"/>
              </w:rPr>
            </w:pPr>
            <w:r>
              <w:rPr>
                <w:sz w:val="16"/>
              </w:rPr>
              <w:t>slouží bezprostředně k zajištění hlavního využití dané plochy</w:t>
            </w:r>
          </w:p>
        </w:tc>
      </w:tr>
      <w:tr>
        <w:trPr>
          <w:trHeight w:val="244" w:hRule="atLeast"/>
        </w:trPr>
        <w:tc>
          <w:tcPr>
            <w:tcW w:w="4603" w:type="dxa"/>
          </w:tcPr>
          <w:p>
            <w:pPr>
              <w:pStyle w:val="TableParagraph"/>
              <w:spacing w:line="171" w:lineRule="exact" w:before="53"/>
              <w:rPr>
                <w:b/>
                <w:sz w:val="16"/>
              </w:rPr>
            </w:pPr>
            <w:r>
              <w:rPr>
                <w:b/>
                <w:sz w:val="16"/>
              </w:rPr>
              <w:t>stavby pro reklamu</w:t>
            </w:r>
          </w:p>
        </w:tc>
        <w:tc>
          <w:tcPr>
            <w:tcW w:w="5035" w:type="dxa"/>
          </w:tcPr>
          <w:p>
            <w:pPr>
              <w:pStyle w:val="TableParagraph"/>
              <w:ind w:left="0"/>
              <w:rPr>
                <w:rFonts w:ascii="Times New Roman"/>
                <w:sz w:val="16"/>
              </w:rPr>
            </w:pPr>
          </w:p>
        </w:tc>
      </w:tr>
      <w:tr>
        <w:trPr>
          <w:trHeight w:val="479" w:hRule="atLeast"/>
        </w:trPr>
        <w:tc>
          <w:tcPr>
            <w:tcW w:w="4603" w:type="dxa"/>
          </w:tcPr>
          <w:p>
            <w:pPr>
              <w:pStyle w:val="TableParagraph"/>
              <w:spacing w:line="180" w:lineRule="atLeast" w:before="106"/>
              <w:rPr>
                <w:b/>
                <w:sz w:val="16"/>
              </w:rPr>
            </w:pPr>
            <w:r>
              <w:rPr>
                <w:b/>
                <w:sz w:val="16"/>
              </w:rPr>
              <w:t>liniové stavby technické infrastruktury nadřazených systémů</w:t>
            </w:r>
          </w:p>
        </w:tc>
        <w:tc>
          <w:tcPr>
            <w:tcW w:w="5035" w:type="dxa"/>
          </w:tcPr>
          <w:p>
            <w:pPr>
              <w:pStyle w:val="TableParagraph"/>
              <w:spacing w:before="109"/>
              <w:rPr>
                <w:sz w:val="16"/>
              </w:rPr>
            </w:pPr>
            <w:r>
              <w:rPr>
                <w:sz w:val="16"/>
              </w:rPr>
              <w:t>souvisí bezprostředně s provozem města</w:t>
            </w:r>
          </w:p>
        </w:tc>
      </w:tr>
      <w:tr>
        <w:trPr>
          <w:trHeight w:val="594" w:hRule="atLeast"/>
        </w:trPr>
        <w:tc>
          <w:tcPr>
            <w:tcW w:w="4603" w:type="dxa"/>
          </w:tcPr>
          <w:p>
            <w:pPr>
              <w:pStyle w:val="TableParagraph"/>
              <w:spacing w:before="106"/>
              <w:ind w:right="576"/>
              <w:rPr>
                <w:b/>
                <w:sz w:val="16"/>
              </w:rPr>
            </w:pPr>
            <w:r>
              <w:rPr>
                <w:b/>
                <w:sz w:val="16"/>
              </w:rPr>
              <w:t>plošně nenáročná zařízení technické infrastruktury nadřazených systémů</w:t>
            </w:r>
          </w:p>
        </w:tc>
        <w:tc>
          <w:tcPr>
            <w:tcW w:w="5035" w:type="dxa"/>
          </w:tcPr>
          <w:p>
            <w:pPr>
              <w:pStyle w:val="TableParagraph"/>
              <w:spacing w:before="109"/>
              <w:rPr>
                <w:sz w:val="16"/>
              </w:rPr>
            </w:pPr>
            <w:r>
              <w:rPr>
                <w:sz w:val="16"/>
              </w:rPr>
              <w:t>plocha nepřesáhne 300 m</w:t>
            </w:r>
            <w:r>
              <w:rPr>
                <w:sz w:val="16"/>
                <w:vertAlign w:val="superscript"/>
              </w:rPr>
              <w:t>2</w:t>
            </w:r>
          </w:p>
          <w:p>
            <w:pPr>
              <w:pStyle w:val="TableParagraph"/>
              <w:spacing w:line="168" w:lineRule="exact" w:before="113"/>
              <w:rPr>
                <w:sz w:val="16"/>
              </w:rPr>
            </w:pPr>
            <w:r>
              <w:rPr>
                <w:sz w:val="16"/>
              </w:rPr>
              <w:t>souvisí bezprostředně s provozem města</w:t>
            </w:r>
          </w:p>
        </w:tc>
      </w:tr>
      <w:tr>
        <w:trPr>
          <w:trHeight w:val="5101" w:hRule="atLeast"/>
        </w:trPr>
        <w:tc>
          <w:tcPr>
            <w:tcW w:w="4603" w:type="dxa"/>
          </w:tcPr>
          <w:p>
            <w:pPr>
              <w:pStyle w:val="TableParagraph"/>
              <w:spacing w:before="106"/>
              <w:rPr>
                <w:b/>
                <w:sz w:val="16"/>
              </w:rPr>
            </w:pPr>
            <w:r>
              <w:rPr>
                <w:b/>
                <w:sz w:val="16"/>
              </w:rPr>
              <w:t>základní vybavenost území</w:t>
            </w:r>
          </w:p>
          <w:p>
            <w:pPr>
              <w:pStyle w:val="TableParagraph"/>
              <w:spacing w:before="61"/>
              <w:ind w:right="450"/>
              <w:rPr>
                <w:sz w:val="16"/>
              </w:rPr>
            </w:pPr>
            <w:r>
              <w:rPr>
                <w:sz w:val="16"/>
              </w:rPr>
              <w:t>terénní úpravy kromě těžebních prací a skládek odpadů, opěrné zdi, propustky a přemostění, oplocení</w:t>
            </w:r>
          </w:p>
          <w:p>
            <w:pPr>
              <w:pStyle w:val="TableParagraph"/>
              <w:spacing w:before="57"/>
              <w:ind w:right="189" w:hanging="1"/>
              <w:rPr>
                <w:sz w:val="16"/>
              </w:rPr>
            </w:pPr>
            <w:r>
              <w:rPr>
                <w:sz w:val="16"/>
              </w:rPr>
              <w:t>vodní toky a vodní plochy do 300 m</w:t>
            </w:r>
            <w:r>
              <w:rPr>
                <w:sz w:val="16"/>
                <w:vertAlign w:val="superscript"/>
              </w:rPr>
              <w:t>2</w:t>
            </w:r>
            <w:r>
              <w:rPr>
                <w:sz w:val="16"/>
                <w:vertAlign w:val="baseline"/>
              </w:rPr>
              <w:t>, parkové, sadovnické a zahradnické úpravy, pobytové louky, plošné a liniové prvky ochranné a doprovodné zeleně vč. biokoridorů ÚSES a IP</w:t>
            </w:r>
          </w:p>
          <w:p>
            <w:pPr>
              <w:pStyle w:val="TableParagraph"/>
              <w:spacing w:before="58"/>
              <w:ind w:right="139" w:hanging="1"/>
              <w:rPr>
                <w:sz w:val="16"/>
              </w:rPr>
            </w:pPr>
            <w:r>
              <w:rPr>
                <w:sz w:val="16"/>
              </w:rPr>
              <w:t>veřejná prostranství - místní komunikace zpřístupňující objekty a pozemky v ploše, komunikace, pobytové prostory s vyloučením motorové dopravy, zastávky VDO, parkování</w:t>
            </w:r>
            <w:r>
              <w:rPr>
                <w:spacing w:val="-22"/>
                <w:sz w:val="16"/>
              </w:rPr>
              <w:t> </w:t>
            </w:r>
            <w:r>
              <w:rPr>
                <w:sz w:val="16"/>
              </w:rPr>
              <w:t>OA</w:t>
            </w:r>
          </w:p>
          <w:p>
            <w:pPr>
              <w:pStyle w:val="TableParagraph"/>
              <w:spacing w:before="55"/>
              <w:ind w:right="156"/>
              <w:rPr>
                <w:sz w:val="16"/>
              </w:rPr>
            </w:pPr>
            <w:r>
              <w:rPr>
                <w:sz w:val="16"/>
              </w:rPr>
              <w:t>technická infrastruktura - liniové stavby a plošně nenáročná zařízení vodovodů, kanalizace, produktovodů, energetických zařízení vč. obnovitelných zdrojů, elektronických</w:t>
            </w:r>
            <w:r>
              <w:rPr>
                <w:spacing w:val="-22"/>
                <w:sz w:val="16"/>
              </w:rPr>
              <w:t> </w:t>
            </w:r>
            <w:r>
              <w:rPr>
                <w:sz w:val="16"/>
              </w:rPr>
              <w:t>komunikací</w:t>
            </w:r>
          </w:p>
          <w:p>
            <w:pPr>
              <w:pStyle w:val="TableParagraph"/>
              <w:spacing w:before="57"/>
              <w:ind w:right="361"/>
              <w:rPr>
                <w:sz w:val="16"/>
              </w:rPr>
            </w:pPr>
            <w:r>
              <w:rPr>
                <w:sz w:val="16"/>
              </w:rPr>
              <w:t>správa a údržba, technologická zařízení, přístřešky pro skladování a manipulaci nesloužící pro hořlavé, chemické látky, které mohou způsobit znečištění životního prostředí</w:t>
            </w:r>
          </w:p>
          <w:p>
            <w:pPr>
              <w:pStyle w:val="TableParagraph"/>
              <w:spacing w:before="58"/>
              <w:ind w:right="610"/>
              <w:rPr>
                <w:sz w:val="16"/>
              </w:rPr>
            </w:pPr>
            <w:r>
              <w:rPr>
                <w:sz w:val="16"/>
              </w:rPr>
              <w:t>rekreace - hřiště, mobiliář, přístřešky pro obsluhu, občerstvení a hygienu, stavby drobné architektury bez pobytových místností</w:t>
            </w:r>
          </w:p>
          <w:p>
            <w:pPr>
              <w:pStyle w:val="TableParagraph"/>
              <w:spacing w:before="58"/>
              <w:ind w:right="140"/>
              <w:rPr>
                <w:sz w:val="16"/>
              </w:rPr>
            </w:pPr>
            <w:r>
              <w:rPr>
                <w:sz w:val="16"/>
              </w:rPr>
              <w:t>pěstitelská a chovatelská činnost - skleníky, kotce, přístřešky pro hospodaření</w:t>
            </w:r>
          </w:p>
          <w:p>
            <w:pPr>
              <w:pStyle w:val="TableParagraph"/>
              <w:spacing w:line="312" w:lineRule="auto" w:before="57"/>
              <w:ind w:right="726" w:hanging="1"/>
              <w:rPr>
                <w:sz w:val="16"/>
              </w:rPr>
            </w:pPr>
            <w:r>
              <w:rPr>
                <w:sz w:val="16"/>
              </w:rPr>
              <w:t>informační zařízení do 8 m</w:t>
            </w:r>
            <w:r>
              <w:rPr>
                <w:sz w:val="16"/>
                <w:vertAlign w:val="superscript"/>
              </w:rPr>
              <w:t>2</w:t>
            </w:r>
            <w:r>
              <w:rPr>
                <w:sz w:val="16"/>
                <w:vertAlign w:val="baseline"/>
              </w:rPr>
              <w:t> informační plochy ochrana před povodněmi, erozí, hlukem, exhalacemi</w:t>
            </w:r>
          </w:p>
          <w:p>
            <w:pPr>
              <w:pStyle w:val="TableParagraph"/>
              <w:spacing w:line="180" w:lineRule="atLeast" w:before="4"/>
              <w:ind w:right="201"/>
              <w:rPr>
                <w:sz w:val="16"/>
              </w:rPr>
            </w:pPr>
            <w:r>
              <w:rPr>
                <w:sz w:val="16"/>
              </w:rPr>
              <w:t>integrované stavby a zařízení: bydlení správce, občanské vybavení, nerušící výroba, chovatelská a pěstitelská činnost</w:t>
            </w:r>
          </w:p>
        </w:tc>
        <w:tc>
          <w:tcPr>
            <w:tcW w:w="5035" w:type="dxa"/>
          </w:tcPr>
          <w:p>
            <w:pPr>
              <w:pStyle w:val="TableParagraph"/>
              <w:spacing w:before="53"/>
              <w:ind w:right="918"/>
              <w:rPr>
                <w:sz w:val="16"/>
              </w:rPr>
            </w:pPr>
            <w:r>
              <w:rPr>
                <w:sz w:val="16"/>
              </w:rPr>
              <w:t>slouží bezprostředně k zajištění hlavního, přípustného a podmíněně přípustného využití dané plochy</w:t>
            </w:r>
          </w:p>
          <w:p>
            <w:pPr>
              <w:pStyle w:val="TableParagraph"/>
              <w:spacing w:before="57"/>
              <w:ind w:right="223"/>
              <w:rPr>
                <w:sz w:val="16"/>
              </w:rPr>
            </w:pPr>
            <w:r>
              <w:rPr>
                <w:sz w:val="16"/>
              </w:rPr>
              <w:t>budou uplatněny podmínky prostorového uspořádání odpovídající podmínkám prostorového uspořádání dané plochy</w:t>
            </w:r>
          </w:p>
        </w:tc>
      </w:tr>
      <w:tr>
        <w:trPr>
          <w:trHeight w:val="297" w:hRule="atLeast"/>
        </w:trPr>
        <w:tc>
          <w:tcPr>
            <w:tcW w:w="4603" w:type="dxa"/>
            <w:shd w:val="clear" w:color="auto" w:fill="CCFFFF"/>
          </w:tcPr>
          <w:p>
            <w:pPr>
              <w:pStyle w:val="TableParagraph"/>
              <w:spacing w:line="171" w:lineRule="exact" w:before="106"/>
              <w:rPr>
                <w:b/>
                <w:sz w:val="16"/>
              </w:rPr>
            </w:pPr>
            <w:r>
              <w:rPr>
                <w:b/>
                <w:sz w:val="16"/>
              </w:rPr>
              <w:t>NEPŘÍPUSTNÉ VYUŽITÍ</w:t>
            </w:r>
          </w:p>
        </w:tc>
        <w:tc>
          <w:tcPr>
            <w:tcW w:w="5035" w:type="dxa"/>
            <w:shd w:val="clear" w:color="auto" w:fill="CCFFFF"/>
          </w:tcPr>
          <w:p>
            <w:pPr>
              <w:pStyle w:val="TableParagraph"/>
              <w:ind w:left="0"/>
              <w:rPr>
                <w:rFonts w:ascii="Times New Roman"/>
                <w:sz w:val="16"/>
              </w:rPr>
            </w:pPr>
          </w:p>
        </w:tc>
      </w:tr>
      <w:tr>
        <w:trPr>
          <w:trHeight w:val="779" w:hRule="atLeast"/>
        </w:trPr>
        <w:tc>
          <w:tcPr>
            <w:tcW w:w="4603" w:type="dxa"/>
          </w:tcPr>
          <w:p>
            <w:pPr>
              <w:pStyle w:val="TableParagraph"/>
              <w:spacing w:before="106"/>
              <w:rPr>
                <w:b/>
                <w:sz w:val="16"/>
              </w:rPr>
            </w:pPr>
            <w:r>
              <w:rPr>
                <w:b/>
                <w:sz w:val="16"/>
              </w:rPr>
              <w:t>zejména využití, u kterého existuje riziko, že:</w:t>
            </w:r>
          </w:p>
          <w:p>
            <w:pPr>
              <w:pStyle w:val="TableParagraph"/>
              <w:spacing w:line="240" w:lineRule="atLeast" w:before="5"/>
              <w:ind w:right="335"/>
              <w:rPr>
                <w:sz w:val="16"/>
              </w:rPr>
            </w:pPr>
            <w:r>
              <w:rPr>
                <w:sz w:val="16"/>
              </w:rPr>
              <w:t>naruší kvalitu prostředí plochy občanského vybavení naruší celistvost a funkčnost plochy občanského vybavení</w:t>
            </w:r>
          </w:p>
        </w:tc>
        <w:tc>
          <w:tcPr>
            <w:tcW w:w="5035" w:type="dxa"/>
          </w:tcPr>
          <w:p>
            <w:pPr>
              <w:pStyle w:val="TableParagraph"/>
              <w:ind w:left="0"/>
              <w:rPr>
                <w:rFonts w:ascii="Times New Roman"/>
                <w:sz w:val="16"/>
              </w:rPr>
            </w:pPr>
          </w:p>
        </w:tc>
      </w:tr>
    </w:tbl>
    <w:p>
      <w:pPr>
        <w:spacing w:after="0"/>
        <w:rPr>
          <w:rFonts w:ascii="Times New Roman"/>
          <w:sz w:val="16"/>
        </w:rPr>
        <w:sectPr>
          <w:pgSz w:w="11900" w:h="16840"/>
          <w:pgMar w:header="561" w:footer="582" w:top="760" w:bottom="780" w:left="960" w:right="980"/>
        </w:sectPr>
      </w:pPr>
    </w:p>
    <w:p>
      <w:pPr>
        <w:pStyle w:val="BodyText"/>
        <w:ind w:left="0" w:firstLine="0"/>
        <w:jc w:val="left"/>
        <w:rPr>
          <w:b/>
          <w:sz w:val="20"/>
        </w:rPr>
      </w:pPr>
    </w:p>
    <w:p>
      <w:pPr>
        <w:pStyle w:val="BodyText"/>
        <w:spacing w:before="7"/>
        <w:ind w:left="0" w:firstLine="0"/>
        <w:jc w:val="left"/>
        <w:rPr>
          <w:b/>
          <w:sz w:val="11"/>
        </w:r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03"/>
        <w:gridCol w:w="5035"/>
      </w:tblGrid>
      <w:tr>
        <w:trPr>
          <w:trHeight w:val="563" w:hRule="atLeast"/>
        </w:trPr>
        <w:tc>
          <w:tcPr>
            <w:tcW w:w="4603" w:type="dxa"/>
            <w:shd w:val="clear" w:color="auto" w:fill="32CCCC"/>
          </w:tcPr>
          <w:p>
            <w:pPr>
              <w:pStyle w:val="TableParagraph"/>
              <w:spacing w:line="252" w:lineRule="exact" w:before="60"/>
              <w:ind w:right="618"/>
              <w:rPr>
                <w:b/>
                <w:sz w:val="22"/>
              </w:rPr>
            </w:pPr>
            <w:r>
              <w:rPr>
                <w:b/>
                <w:sz w:val="22"/>
              </w:rPr>
              <w:t>PLOCHY OBČANSKÉHO VYBAVENÍ- KOMERČNÍ</w:t>
            </w:r>
          </w:p>
        </w:tc>
        <w:tc>
          <w:tcPr>
            <w:tcW w:w="5035" w:type="dxa"/>
            <w:shd w:val="clear" w:color="auto" w:fill="32CCCC"/>
          </w:tcPr>
          <w:p>
            <w:pPr>
              <w:pStyle w:val="TableParagraph"/>
              <w:spacing w:before="55"/>
              <w:rPr>
                <w:b/>
                <w:sz w:val="22"/>
              </w:rPr>
            </w:pPr>
            <w:r>
              <w:rPr>
                <w:b/>
                <w:sz w:val="22"/>
              </w:rPr>
              <w:t>OK</w:t>
            </w:r>
          </w:p>
        </w:tc>
      </w:tr>
      <w:tr>
        <w:trPr>
          <w:trHeight w:val="241" w:hRule="atLeast"/>
        </w:trPr>
        <w:tc>
          <w:tcPr>
            <w:tcW w:w="4603" w:type="dxa"/>
            <w:shd w:val="clear" w:color="auto" w:fill="CCFFFF"/>
          </w:tcPr>
          <w:p>
            <w:pPr>
              <w:pStyle w:val="TableParagraph"/>
              <w:spacing w:line="168" w:lineRule="exact" w:before="53"/>
              <w:rPr>
                <w:sz w:val="16"/>
              </w:rPr>
            </w:pPr>
            <w:r>
              <w:rPr>
                <w:sz w:val="16"/>
              </w:rPr>
              <w:t>pozemky pro stavby, zařízení, úpravy, kultury, činnosti</w:t>
            </w:r>
          </w:p>
        </w:tc>
        <w:tc>
          <w:tcPr>
            <w:tcW w:w="5035" w:type="dxa"/>
            <w:shd w:val="clear" w:color="auto" w:fill="CCFFFF"/>
          </w:tcPr>
          <w:p>
            <w:pPr>
              <w:pStyle w:val="TableParagraph"/>
              <w:ind w:left="0"/>
              <w:rPr>
                <w:rFonts w:ascii="Times New Roman"/>
                <w:sz w:val="16"/>
              </w:rPr>
            </w:pPr>
          </w:p>
        </w:tc>
      </w:tr>
      <w:tr>
        <w:trPr>
          <w:trHeight w:val="239" w:hRule="atLeast"/>
        </w:trPr>
        <w:tc>
          <w:tcPr>
            <w:tcW w:w="4603" w:type="dxa"/>
            <w:shd w:val="clear" w:color="auto" w:fill="CCFFFF"/>
          </w:tcPr>
          <w:p>
            <w:pPr>
              <w:pStyle w:val="TableParagraph"/>
              <w:spacing w:line="168" w:lineRule="exact" w:before="51"/>
              <w:rPr>
                <w:b/>
                <w:sz w:val="16"/>
              </w:rPr>
            </w:pPr>
            <w:r>
              <w:rPr>
                <w:b/>
                <w:sz w:val="16"/>
              </w:rPr>
              <w:t>HLAVNÍ VYUŽITÍ</w:t>
            </w:r>
          </w:p>
        </w:tc>
        <w:tc>
          <w:tcPr>
            <w:tcW w:w="5035" w:type="dxa"/>
            <w:shd w:val="clear" w:color="auto" w:fill="CCFFFF"/>
          </w:tcPr>
          <w:p>
            <w:pPr>
              <w:pStyle w:val="TableParagraph"/>
              <w:ind w:left="0"/>
              <w:rPr>
                <w:rFonts w:ascii="Times New Roman"/>
                <w:sz w:val="16"/>
              </w:rPr>
            </w:pPr>
          </w:p>
        </w:tc>
      </w:tr>
      <w:tr>
        <w:trPr>
          <w:trHeight w:val="690" w:hRule="atLeast"/>
        </w:trPr>
        <w:tc>
          <w:tcPr>
            <w:tcW w:w="4603" w:type="dxa"/>
          </w:tcPr>
          <w:p>
            <w:pPr>
              <w:pStyle w:val="TableParagraph"/>
              <w:spacing w:line="295" w:lineRule="auto" w:before="37"/>
              <w:ind w:right="2434"/>
              <w:rPr>
                <w:sz w:val="16"/>
              </w:rPr>
            </w:pPr>
            <w:r>
              <w:rPr>
                <w:b/>
                <w:sz w:val="16"/>
              </w:rPr>
              <w:t>obslužné funkce </w:t>
            </w:r>
            <w:r>
              <w:rPr>
                <w:sz w:val="16"/>
              </w:rPr>
              <w:t>(zejména) obchodní</w:t>
            </w:r>
            <w:r>
              <w:rPr>
                <w:spacing w:val="-2"/>
                <w:sz w:val="16"/>
              </w:rPr>
              <w:t> </w:t>
            </w:r>
            <w:r>
              <w:rPr>
                <w:sz w:val="16"/>
              </w:rPr>
              <w:t>prodej</w:t>
            </w:r>
          </w:p>
          <w:p>
            <w:pPr>
              <w:pStyle w:val="TableParagraph"/>
              <w:spacing w:line="168" w:lineRule="exact" w:before="13"/>
              <w:ind w:left="155"/>
              <w:rPr>
                <w:sz w:val="16"/>
              </w:rPr>
            </w:pPr>
            <w:r>
              <w:rPr>
                <w:sz w:val="16"/>
              </w:rPr>
              <w:t>komerční</w:t>
            </w:r>
            <w:r>
              <w:rPr>
                <w:spacing w:val="-4"/>
                <w:sz w:val="16"/>
              </w:rPr>
              <w:t> </w:t>
            </w:r>
            <w:r>
              <w:rPr>
                <w:sz w:val="16"/>
              </w:rPr>
              <w:t>služby</w:t>
            </w:r>
          </w:p>
        </w:tc>
        <w:tc>
          <w:tcPr>
            <w:tcW w:w="5035" w:type="dxa"/>
          </w:tcPr>
          <w:p>
            <w:pPr>
              <w:pStyle w:val="TableParagraph"/>
              <w:ind w:left="0"/>
              <w:rPr>
                <w:rFonts w:ascii="Times New Roman"/>
                <w:sz w:val="16"/>
              </w:rPr>
            </w:pPr>
          </w:p>
        </w:tc>
      </w:tr>
      <w:tr>
        <w:trPr>
          <w:trHeight w:val="239" w:hRule="atLeast"/>
        </w:trPr>
        <w:tc>
          <w:tcPr>
            <w:tcW w:w="4603" w:type="dxa"/>
            <w:shd w:val="clear" w:color="auto" w:fill="CCFFFF"/>
          </w:tcPr>
          <w:p>
            <w:pPr>
              <w:pStyle w:val="TableParagraph"/>
              <w:spacing w:line="168" w:lineRule="exact" w:before="51"/>
              <w:rPr>
                <w:b/>
                <w:sz w:val="16"/>
              </w:rPr>
            </w:pPr>
            <w:r>
              <w:rPr>
                <w:b/>
                <w:sz w:val="16"/>
              </w:rPr>
              <w:t>PŘÍPUSTNÉ VYUŽITÍ</w:t>
            </w:r>
          </w:p>
        </w:tc>
        <w:tc>
          <w:tcPr>
            <w:tcW w:w="5035" w:type="dxa"/>
            <w:shd w:val="clear" w:color="auto" w:fill="CCFFFF"/>
          </w:tcPr>
          <w:p>
            <w:pPr>
              <w:pStyle w:val="TableParagraph"/>
              <w:ind w:left="0"/>
              <w:rPr>
                <w:rFonts w:ascii="Times New Roman"/>
                <w:sz w:val="16"/>
              </w:rPr>
            </w:pPr>
          </w:p>
        </w:tc>
      </w:tr>
      <w:tr>
        <w:trPr>
          <w:trHeight w:val="897" w:hRule="atLeast"/>
        </w:trPr>
        <w:tc>
          <w:tcPr>
            <w:tcW w:w="4603" w:type="dxa"/>
          </w:tcPr>
          <w:p>
            <w:pPr>
              <w:pStyle w:val="TableParagraph"/>
              <w:spacing w:line="297" w:lineRule="auto" w:before="34"/>
              <w:ind w:right="2434"/>
              <w:rPr>
                <w:sz w:val="16"/>
              </w:rPr>
            </w:pPr>
            <w:r>
              <w:rPr>
                <w:b/>
                <w:sz w:val="16"/>
              </w:rPr>
              <w:t>obslužné funkce </w:t>
            </w:r>
            <w:r>
              <w:rPr>
                <w:sz w:val="16"/>
              </w:rPr>
              <w:t>(zejména) výstavnictví</w:t>
            </w:r>
          </w:p>
          <w:p>
            <w:pPr>
              <w:pStyle w:val="TableParagraph"/>
              <w:spacing w:line="179" w:lineRule="exact"/>
              <w:rPr>
                <w:sz w:val="16"/>
              </w:rPr>
            </w:pPr>
            <w:r>
              <w:rPr>
                <w:sz w:val="16"/>
              </w:rPr>
              <w:t>zábavní aktivity</w:t>
            </w:r>
          </w:p>
          <w:p>
            <w:pPr>
              <w:pStyle w:val="TableParagraph"/>
              <w:spacing w:line="168" w:lineRule="exact" w:before="39"/>
              <w:rPr>
                <w:sz w:val="16"/>
              </w:rPr>
            </w:pPr>
            <w:r>
              <w:rPr>
                <w:sz w:val="16"/>
              </w:rPr>
              <w:t>komerční administrativa</w:t>
            </w:r>
          </w:p>
        </w:tc>
        <w:tc>
          <w:tcPr>
            <w:tcW w:w="5035" w:type="dxa"/>
          </w:tcPr>
          <w:p>
            <w:pPr>
              <w:pStyle w:val="TableParagraph"/>
              <w:ind w:left="0"/>
              <w:rPr>
                <w:rFonts w:ascii="Times New Roman"/>
                <w:sz w:val="16"/>
              </w:rPr>
            </w:pPr>
          </w:p>
        </w:tc>
      </w:tr>
      <w:tr>
        <w:trPr>
          <w:trHeight w:val="1389" w:hRule="atLeast"/>
        </w:trPr>
        <w:tc>
          <w:tcPr>
            <w:tcW w:w="4603" w:type="dxa"/>
            <w:shd w:val="clear" w:color="auto" w:fill="CCFFFF"/>
          </w:tcPr>
          <w:p>
            <w:pPr>
              <w:pStyle w:val="TableParagraph"/>
              <w:spacing w:before="51"/>
              <w:rPr>
                <w:b/>
                <w:sz w:val="16"/>
              </w:rPr>
            </w:pPr>
            <w:r>
              <w:rPr>
                <w:b/>
                <w:sz w:val="16"/>
              </w:rPr>
              <w:t>PODMÍNĚNĚ PŘÍPUSTNÉ VYUŽITÍ</w:t>
            </w:r>
          </w:p>
        </w:tc>
        <w:tc>
          <w:tcPr>
            <w:tcW w:w="5035" w:type="dxa"/>
            <w:shd w:val="clear" w:color="auto" w:fill="CCFFFF"/>
          </w:tcPr>
          <w:p>
            <w:pPr>
              <w:pStyle w:val="TableParagraph"/>
              <w:spacing w:before="51"/>
              <w:ind w:right="216"/>
              <w:rPr>
                <w:sz w:val="16"/>
              </w:rPr>
            </w:pPr>
            <w:r>
              <w:rPr>
                <w:b/>
                <w:sz w:val="16"/>
              </w:rPr>
              <w:t>obecné podmínky </w:t>
            </w:r>
            <w:r>
              <w:rPr>
                <w:sz w:val="16"/>
              </w:rPr>
              <w:t>- prokázat přiměřenost jeho dopadů ve vztahu k hlavnímu a přípustnému využití z hlediska:</w:t>
            </w:r>
          </w:p>
          <w:p>
            <w:pPr>
              <w:pStyle w:val="TableParagraph"/>
              <w:spacing w:before="59"/>
              <w:rPr>
                <w:sz w:val="16"/>
              </w:rPr>
            </w:pPr>
            <w:r>
              <w:rPr>
                <w:sz w:val="16"/>
              </w:rPr>
              <w:t>významu v širším území</w:t>
            </w:r>
          </w:p>
          <w:p>
            <w:pPr>
              <w:pStyle w:val="TableParagraph"/>
              <w:spacing w:line="316" w:lineRule="auto" w:before="56"/>
              <w:ind w:right="1496"/>
              <w:rPr>
                <w:sz w:val="16"/>
              </w:rPr>
            </w:pPr>
            <w:r>
              <w:rPr>
                <w:sz w:val="16"/>
              </w:rPr>
              <w:t>narušení kvality prostředí resp. pohody bydlení charakteru a kapacity napojení na infrastrukturu</w:t>
            </w:r>
          </w:p>
          <w:p>
            <w:pPr>
              <w:pStyle w:val="TableParagraph"/>
              <w:spacing w:line="165" w:lineRule="exact"/>
              <w:rPr>
                <w:sz w:val="16"/>
              </w:rPr>
            </w:pPr>
            <w:r>
              <w:rPr>
                <w:sz w:val="16"/>
              </w:rPr>
              <w:t>vyvolaných omezení ve smyslu hygienických a dalších předpisů</w:t>
            </w:r>
          </w:p>
        </w:tc>
      </w:tr>
      <w:tr>
        <w:trPr>
          <w:trHeight w:val="239" w:hRule="atLeast"/>
        </w:trPr>
        <w:tc>
          <w:tcPr>
            <w:tcW w:w="4603" w:type="dxa"/>
            <w:shd w:val="clear" w:color="auto" w:fill="CCFFFF"/>
          </w:tcPr>
          <w:p>
            <w:pPr>
              <w:pStyle w:val="TableParagraph"/>
              <w:spacing w:line="166" w:lineRule="exact" w:before="53"/>
              <w:rPr>
                <w:sz w:val="16"/>
              </w:rPr>
            </w:pPr>
            <w:r>
              <w:rPr>
                <w:sz w:val="16"/>
              </w:rPr>
              <w:t>činnosti, stavby, zařízení, úpravy, kultury</w:t>
            </w:r>
          </w:p>
        </w:tc>
        <w:tc>
          <w:tcPr>
            <w:tcW w:w="5035" w:type="dxa"/>
            <w:shd w:val="clear" w:color="auto" w:fill="CCFFFF"/>
          </w:tcPr>
          <w:p>
            <w:pPr>
              <w:pStyle w:val="TableParagraph"/>
              <w:spacing w:line="168" w:lineRule="exact" w:before="51"/>
              <w:rPr>
                <w:b/>
                <w:sz w:val="16"/>
              </w:rPr>
            </w:pPr>
            <w:r>
              <w:rPr>
                <w:b/>
                <w:sz w:val="16"/>
              </w:rPr>
              <w:t>specifické podmínky</w:t>
            </w:r>
          </w:p>
        </w:tc>
      </w:tr>
      <w:tr>
        <w:trPr>
          <w:trHeight w:val="1360" w:hRule="atLeast"/>
        </w:trPr>
        <w:tc>
          <w:tcPr>
            <w:tcW w:w="4603" w:type="dxa"/>
          </w:tcPr>
          <w:p>
            <w:pPr>
              <w:pStyle w:val="TableParagraph"/>
              <w:spacing w:line="297" w:lineRule="auto" w:before="34"/>
              <w:ind w:left="155" w:right="2408"/>
              <w:rPr>
                <w:sz w:val="16"/>
              </w:rPr>
            </w:pPr>
            <w:r>
              <w:rPr>
                <w:b/>
                <w:sz w:val="16"/>
              </w:rPr>
              <w:t>obslužné funkce </w:t>
            </w:r>
            <w:r>
              <w:rPr>
                <w:sz w:val="16"/>
              </w:rPr>
              <w:t>(zejména) kultura</w:t>
            </w:r>
          </w:p>
          <w:p>
            <w:pPr>
              <w:pStyle w:val="TableParagraph"/>
              <w:spacing w:line="179" w:lineRule="exact"/>
              <w:ind w:left="155"/>
              <w:rPr>
                <w:sz w:val="16"/>
              </w:rPr>
            </w:pPr>
            <w:r>
              <w:rPr>
                <w:sz w:val="16"/>
              </w:rPr>
              <w:t>sport</w:t>
            </w:r>
          </w:p>
          <w:p>
            <w:pPr>
              <w:pStyle w:val="TableParagraph"/>
              <w:spacing w:line="295" w:lineRule="auto" w:before="39"/>
              <w:ind w:left="155" w:right="3261"/>
              <w:rPr>
                <w:sz w:val="16"/>
              </w:rPr>
            </w:pPr>
            <w:r>
              <w:rPr>
                <w:sz w:val="16"/>
              </w:rPr>
              <w:t>zdravotní služby stravování</w:t>
            </w:r>
          </w:p>
          <w:p>
            <w:pPr>
              <w:pStyle w:val="TableParagraph"/>
              <w:spacing w:line="166" w:lineRule="exact" w:before="13"/>
              <w:ind w:left="155"/>
              <w:rPr>
                <w:sz w:val="16"/>
              </w:rPr>
            </w:pPr>
            <w:r>
              <w:rPr>
                <w:sz w:val="16"/>
              </w:rPr>
              <w:t>bezpečnost</w:t>
            </w:r>
          </w:p>
        </w:tc>
        <w:tc>
          <w:tcPr>
            <w:tcW w:w="5035" w:type="dxa"/>
          </w:tcPr>
          <w:p>
            <w:pPr>
              <w:pStyle w:val="TableParagraph"/>
              <w:spacing w:before="53"/>
              <w:ind w:right="296" w:hanging="1"/>
              <w:rPr>
                <w:sz w:val="16"/>
              </w:rPr>
            </w:pPr>
            <w:r>
              <w:rPr>
                <w:sz w:val="16"/>
              </w:rPr>
              <w:t>slouží bezprostředně k zajištění a doplnění hlavního využití dané plochy</w:t>
            </w:r>
          </w:p>
        </w:tc>
      </w:tr>
      <w:tr>
        <w:trPr>
          <w:trHeight w:val="964" w:hRule="atLeast"/>
        </w:trPr>
        <w:tc>
          <w:tcPr>
            <w:tcW w:w="4603" w:type="dxa"/>
          </w:tcPr>
          <w:p>
            <w:pPr>
              <w:pStyle w:val="TableParagraph"/>
              <w:spacing w:before="53"/>
              <w:ind w:left="155"/>
              <w:rPr>
                <w:sz w:val="16"/>
              </w:rPr>
            </w:pPr>
            <w:r>
              <w:rPr>
                <w:b/>
                <w:sz w:val="16"/>
              </w:rPr>
              <w:t>dopravní vybavení </w:t>
            </w:r>
            <w:r>
              <w:rPr>
                <w:sz w:val="16"/>
              </w:rPr>
              <w:t>(zejména)</w:t>
            </w:r>
          </w:p>
          <w:p>
            <w:pPr>
              <w:pStyle w:val="TableParagraph"/>
              <w:spacing w:line="312" w:lineRule="auto" w:before="59"/>
              <w:ind w:left="155" w:right="540"/>
              <w:rPr>
                <w:sz w:val="16"/>
              </w:rPr>
            </w:pPr>
            <w:r>
              <w:rPr>
                <w:sz w:val="16"/>
              </w:rPr>
              <w:t>veřejná parkoviště a parkovací objekty OA a autobusů, terminály VDO,</w:t>
            </w:r>
          </w:p>
          <w:p>
            <w:pPr>
              <w:pStyle w:val="TableParagraph"/>
              <w:spacing w:line="166" w:lineRule="exact" w:before="4"/>
              <w:ind w:left="155"/>
              <w:rPr>
                <w:sz w:val="16"/>
              </w:rPr>
            </w:pPr>
            <w:r>
              <w:rPr>
                <w:sz w:val="16"/>
              </w:rPr>
              <w:t>čerpací stanice pohonných hmot</w:t>
            </w:r>
          </w:p>
        </w:tc>
        <w:tc>
          <w:tcPr>
            <w:tcW w:w="5035" w:type="dxa"/>
          </w:tcPr>
          <w:p>
            <w:pPr>
              <w:pStyle w:val="TableParagraph"/>
              <w:spacing w:before="111"/>
              <w:rPr>
                <w:sz w:val="16"/>
              </w:rPr>
            </w:pPr>
            <w:r>
              <w:rPr>
                <w:sz w:val="16"/>
              </w:rPr>
              <w:t>slouží bezprostředně k zajištění hlavního využití dané plochy</w:t>
            </w:r>
          </w:p>
        </w:tc>
      </w:tr>
      <w:tr>
        <w:trPr>
          <w:trHeight w:val="244" w:hRule="atLeast"/>
        </w:trPr>
        <w:tc>
          <w:tcPr>
            <w:tcW w:w="4603" w:type="dxa"/>
          </w:tcPr>
          <w:p>
            <w:pPr>
              <w:pStyle w:val="TableParagraph"/>
              <w:spacing w:line="171" w:lineRule="exact" w:before="53"/>
              <w:rPr>
                <w:b/>
                <w:sz w:val="16"/>
              </w:rPr>
            </w:pPr>
            <w:r>
              <w:rPr>
                <w:b/>
                <w:sz w:val="16"/>
              </w:rPr>
              <w:t>stavby pro reklamu</w:t>
            </w:r>
          </w:p>
        </w:tc>
        <w:tc>
          <w:tcPr>
            <w:tcW w:w="5035" w:type="dxa"/>
          </w:tcPr>
          <w:p>
            <w:pPr>
              <w:pStyle w:val="TableParagraph"/>
              <w:ind w:left="0"/>
              <w:rPr>
                <w:rFonts w:ascii="Times New Roman"/>
                <w:sz w:val="16"/>
              </w:rPr>
            </w:pPr>
          </w:p>
        </w:tc>
      </w:tr>
      <w:tr>
        <w:trPr>
          <w:trHeight w:val="481" w:hRule="atLeast"/>
        </w:trPr>
        <w:tc>
          <w:tcPr>
            <w:tcW w:w="4603" w:type="dxa"/>
          </w:tcPr>
          <w:p>
            <w:pPr>
              <w:pStyle w:val="TableParagraph"/>
              <w:spacing w:line="180" w:lineRule="atLeast" w:before="106"/>
              <w:rPr>
                <w:b/>
                <w:sz w:val="16"/>
              </w:rPr>
            </w:pPr>
            <w:r>
              <w:rPr>
                <w:b/>
                <w:sz w:val="16"/>
              </w:rPr>
              <w:t>liniové stavby technické infrastruktury nadřazených systémů</w:t>
            </w:r>
          </w:p>
        </w:tc>
        <w:tc>
          <w:tcPr>
            <w:tcW w:w="5035" w:type="dxa"/>
          </w:tcPr>
          <w:p>
            <w:pPr>
              <w:pStyle w:val="TableParagraph"/>
              <w:spacing w:before="109"/>
              <w:rPr>
                <w:sz w:val="16"/>
              </w:rPr>
            </w:pPr>
            <w:r>
              <w:rPr>
                <w:sz w:val="16"/>
              </w:rPr>
              <w:t>souvisí bezprostředně s provozem města</w:t>
            </w:r>
          </w:p>
        </w:tc>
      </w:tr>
      <w:tr>
        <w:trPr>
          <w:trHeight w:val="520" w:hRule="atLeast"/>
        </w:trPr>
        <w:tc>
          <w:tcPr>
            <w:tcW w:w="4603" w:type="dxa"/>
          </w:tcPr>
          <w:p>
            <w:pPr>
              <w:pStyle w:val="TableParagraph"/>
              <w:spacing w:before="106"/>
              <w:ind w:right="576"/>
              <w:rPr>
                <w:b/>
                <w:sz w:val="16"/>
              </w:rPr>
            </w:pPr>
            <w:r>
              <w:rPr>
                <w:b/>
                <w:sz w:val="16"/>
              </w:rPr>
              <w:t>plošně nenáročná zařízení technické infrastruktury nadřazených systémů</w:t>
            </w:r>
          </w:p>
        </w:tc>
        <w:tc>
          <w:tcPr>
            <w:tcW w:w="5035" w:type="dxa"/>
          </w:tcPr>
          <w:p>
            <w:pPr>
              <w:pStyle w:val="TableParagraph"/>
              <w:spacing w:before="109"/>
              <w:rPr>
                <w:sz w:val="16"/>
              </w:rPr>
            </w:pPr>
            <w:r>
              <w:rPr>
                <w:sz w:val="16"/>
              </w:rPr>
              <w:t>plocha nepřesáhne 300 m</w:t>
            </w:r>
            <w:r>
              <w:rPr>
                <w:sz w:val="16"/>
                <w:vertAlign w:val="superscript"/>
              </w:rPr>
              <w:t>2</w:t>
            </w:r>
          </w:p>
          <w:p>
            <w:pPr>
              <w:pStyle w:val="TableParagraph"/>
              <w:spacing w:line="168" w:lineRule="exact" w:before="39"/>
              <w:ind w:left="156"/>
              <w:rPr>
                <w:sz w:val="16"/>
              </w:rPr>
            </w:pPr>
            <w:r>
              <w:rPr>
                <w:sz w:val="16"/>
              </w:rPr>
              <w:t>souvisí bezprostředně s provozem města</w:t>
            </w:r>
          </w:p>
        </w:tc>
      </w:tr>
      <w:tr>
        <w:trPr>
          <w:trHeight w:val="5102" w:hRule="atLeast"/>
        </w:trPr>
        <w:tc>
          <w:tcPr>
            <w:tcW w:w="4603" w:type="dxa"/>
          </w:tcPr>
          <w:p>
            <w:pPr>
              <w:pStyle w:val="TableParagraph"/>
              <w:spacing w:before="106"/>
              <w:rPr>
                <w:b/>
                <w:sz w:val="16"/>
              </w:rPr>
            </w:pPr>
            <w:r>
              <w:rPr>
                <w:b/>
                <w:sz w:val="16"/>
              </w:rPr>
              <w:t>základní vybavenost území</w:t>
            </w:r>
          </w:p>
          <w:p>
            <w:pPr>
              <w:pStyle w:val="TableParagraph"/>
              <w:spacing w:before="61"/>
              <w:ind w:right="450"/>
              <w:rPr>
                <w:sz w:val="16"/>
              </w:rPr>
            </w:pPr>
            <w:r>
              <w:rPr>
                <w:sz w:val="16"/>
              </w:rPr>
              <w:t>terénní úpravy kromě těžebních prací a skládek odpadů, opěrné zdi, propustky a přemostění, oplocení</w:t>
            </w:r>
          </w:p>
          <w:p>
            <w:pPr>
              <w:pStyle w:val="TableParagraph"/>
              <w:spacing w:before="57"/>
              <w:ind w:right="189" w:hanging="1"/>
              <w:rPr>
                <w:sz w:val="16"/>
              </w:rPr>
            </w:pPr>
            <w:r>
              <w:rPr>
                <w:sz w:val="16"/>
              </w:rPr>
              <w:t>vodní toky a vodní plochy do 300 m</w:t>
            </w:r>
            <w:r>
              <w:rPr>
                <w:sz w:val="16"/>
                <w:vertAlign w:val="superscript"/>
              </w:rPr>
              <w:t>2</w:t>
            </w:r>
            <w:r>
              <w:rPr>
                <w:sz w:val="16"/>
                <w:vertAlign w:val="baseline"/>
              </w:rPr>
              <w:t>, parkové, sadovnické a zahradnické úpravy, pobytové louky, plošné a liniové prvky ochranné a doprovodné zeleně vč. biokoridorů ÚSES a IP</w:t>
            </w:r>
          </w:p>
          <w:p>
            <w:pPr>
              <w:pStyle w:val="TableParagraph"/>
              <w:spacing w:before="55"/>
              <w:ind w:right="139" w:hanging="1"/>
              <w:rPr>
                <w:sz w:val="16"/>
              </w:rPr>
            </w:pPr>
            <w:r>
              <w:rPr>
                <w:sz w:val="16"/>
              </w:rPr>
              <w:t>veřejná prostranství - místní komunikace zpřístupňující objekty a pozemky v ploše, komunikace, pobytové prostory s vyloučením motorové dopravy, zastávky VDO, parkování</w:t>
            </w:r>
            <w:r>
              <w:rPr>
                <w:spacing w:val="-22"/>
                <w:sz w:val="16"/>
              </w:rPr>
              <w:t> </w:t>
            </w:r>
            <w:r>
              <w:rPr>
                <w:sz w:val="16"/>
              </w:rPr>
              <w:t>OA</w:t>
            </w:r>
          </w:p>
          <w:p>
            <w:pPr>
              <w:pStyle w:val="TableParagraph"/>
              <w:spacing w:before="58"/>
              <w:ind w:right="156"/>
              <w:rPr>
                <w:sz w:val="16"/>
              </w:rPr>
            </w:pPr>
            <w:r>
              <w:rPr>
                <w:sz w:val="16"/>
              </w:rPr>
              <w:t>technická infrastruktura - liniové stavby a plošně nenáročná zařízení vodovodů, kanalizace, produktovodů, energetických zařízení vč. obnovitelných zdrojů, elektronických</w:t>
            </w:r>
            <w:r>
              <w:rPr>
                <w:spacing w:val="-22"/>
                <w:sz w:val="16"/>
              </w:rPr>
              <w:t> </w:t>
            </w:r>
            <w:r>
              <w:rPr>
                <w:sz w:val="16"/>
              </w:rPr>
              <w:t>komunikací</w:t>
            </w:r>
          </w:p>
          <w:p>
            <w:pPr>
              <w:pStyle w:val="TableParagraph"/>
              <w:spacing w:before="57"/>
              <w:ind w:right="361"/>
              <w:rPr>
                <w:sz w:val="16"/>
              </w:rPr>
            </w:pPr>
            <w:r>
              <w:rPr>
                <w:sz w:val="16"/>
              </w:rPr>
              <w:t>správa a údržba, technologická zařízení, přístřešky pro skladování a manipulaci nesloužící pro hořlavé, chemické látky, které mohou způsobit znečištění životního prostředí</w:t>
            </w:r>
          </w:p>
          <w:p>
            <w:pPr>
              <w:pStyle w:val="TableParagraph"/>
              <w:spacing w:before="58"/>
              <w:ind w:right="610"/>
              <w:rPr>
                <w:sz w:val="16"/>
              </w:rPr>
            </w:pPr>
            <w:r>
              <w:rPr>
                <w:sz w:val="16"/>
              </w:rPr>
              <w:t>rekreace - hřiště, mobiliář, přístřešky pro obsluhu, občerstvení a hygienu, stavby drobné architektury bez pobytových místností</w:t>
            </w:r>
          </w:p>
          <w:p>
            <w:pPr>
              <w:pStyle w:val="TableParagraph"/>
              <w:spacing w:before="55"/>
              <w:ind w:right="140"/>
              <w:rPr>
                <w:sz w:val="16"/>
              </w:rPr>
            </w:pPr>
            <w:r>
              <w:rPr>
                <w:sz w:val="16"/>
              </w:rPr>
              <w:t>pěstitelská a chovatelská činnost - skleníky, kotce, přístřešky pro hospodaření</w:t>
            </w:r>
          </w:p>
          <w:p>
            <w:pPr>
              <w:pStyle w:val="TableParagraph"/>
              <w:spacing w:line="316" w:lineRule="auto" w:before="57"/>
              <w:ind w:right="726" w:hanging="1"/>
              <w:rPr>
                <w:sz w:val="16"/>
              </w:rPr>
            </w:pPr>
            <w:r>
              <w:rPr>
                <w:sz w:val="16"/>
              </w:rPr>
              <w:t>informační zařízení do 8 m</w:t>
            </w:r>
            <w:r>
              <w:rPr>
                <w:sz w:val="16"/>
                <w:vertAlign w:val="superscript"/>
              </w:rPr>
              <w:t>2</w:t>
            </w:r>
            <w:r>
              <w:rPr>
                <w:sz w:val="16"/>
                <w:vertAlign w:val="baseline"/>
              </w:rPr>
              <w:t> informační plochy ochrana před povodněmi, erozí, hlukem, exhalacemi</w:t>
            </w:r>
          </w:p>
          <w:p>
            <w:pPr>
              <w:pStyle w:val="TableParagraph"/>
              <w:spacing w:line="184" w:lineRule="exact" w:before="2"/>
              <w:ind w:right="201"/>
              <w:rPr>
                <w:sz w:val="16"/>
              </w:rPr>
            </w:pPr>
            <w:r>
              <w:rPr>
                <w:sz w:val="16"/>
              </w:rPr>
              <w:t>integrované stavby a zařízení: bydlení správce, občanské vybavení, nerušící výroba, chovatelská a pěstitelská činnost</w:t>
            </w:r>
          </w:p>
        </w:tc>
        <w:tc>
          <w:tcPr>
            <w:tcW w:w="5035" w:type="dxa"/>
          </w:tcPr>
          <w:p>
            <w:pPr>
              <w:pStyle w:val="TableParagraph"/>
              <w:spacing w:before="53"/>
              <w:ind w:right="918"/>
              <w:rPr>
                <w:sz w:val="16"/>
              </w:rPr>
            </w:pPr>
            <w:r>
              <w:rPr>
                <w:sz w:val="16"/>
              </w:rPr>
              <w:t>slouží bezprostředně k zajištění hlavního, přípustného a podmíněně přípustného využití dané plochy</w:t>
            </w:r>
          </w:p>
          <w:p>
            <w:pPr>
              <w:pStyle w:val="TableParagraph"/>
              <w:spacing w:before="57"/>
              <w:ind w:right="223"/>
              <w:rPr>
                <w:sz w:val="16"/>
              </w:rPr>
            </w:pPr>
            <w:r>
              <w:rPr>
                <w:sz w:val="16"/>
              </w:rPr>
              <w:t>budou uplatněny podmínky prostorového uspořádání odpovídající podmínkám prostorového uspořádání dané plochy</w:t>
            </w:r>
          </w:p>
        </w:tc>
      </w:tr>
      <w:tr>
        <w:trPr>
          <w:trHeight w:val="297" w:hRule="atLeast"/>
        </w:trPr>
        <w:tc>
          <w:tcPr>
            <w:tcW w:w="4603" w:type="dxa"/>
            <w:shd w:val="clear" w:color="auto" w:fill="CCFFFF"/>
          </w:tcPr>
          <w:p>
            <w:pPr>
              <w:pStyle w:val="TableParagraph"/>
              <w:spacing w:line="171" w:lineRule="exact" w:before="106"/>
              <w:rPr>
                <w:b/>
                <w:sz w:val="16"/>
              </w:rPr>
            </w:pPr>
            <w:r>
              <w:rPr>
                <w:b/>
                <w:sz w:val="16"/>
              </w:rPr>
              <w:t>NEPŘÍPUSTNÉ VYUŽITÍ</w:t>
            </w:r>
          </w:p>
        </w:tc>
        <w:tc>
          <w:tcPr>
            <w:tcW w:w="5035" w:type="dxa"/>
            <w:shd w:val="clear" w:color="auto" w:fill="CCFFFF"/>
          </w:tcPr>
          <w:p>
            <w:pPr>
              <w:pStyle w:val="TableParagraph"/>
              <w:ind w:left="0"/>
              <w:rPr>
                <w:rFonts w:ascii="Times New Roman"/>
                <w:sz w:val="16"/>
              </w:rPr>
            </w:pPr>
          </w:p>
        </w:tc>
      </w:tr>
      <w:tr>
        <w:trPr>
          <w:trHeight w:val="537" w:hRule="atLeast"/>
        </w:trPr>
        <w:tc>
          <w:tcPr>
            <w:tcW w:w="4603" w:type="dxa"/>
          </w:tcPr>
          <w:p>
            <w:pPr>
              <w:pStyle w:val="TableParagraph"/>
              <w:spacing w:before="106"/>
              <w:rPr>
                <w:b/>
                <w:sz w:val="16"/>
              </w:rPr>
            </w:pPr>
            <w:r>
              <w:rPr>
                <w:b/>
                <w:sz w:val="16"/>
              </w:rPr>
              <w:t>zejména využití, u kterého existuje riziko, že:</w:t>
            </w:r>
          </w:p>
          <w:p>
            <w:pPr>
              <w:pStyle w:val="TableParagraph"/>
              <w:spacing w:line="168" w:lineRule="exact" w:before="59"/>
              <w:rPr>
                <w:sz w:val="16"/>
              </w:rPr>
            </w:pPr>
            <w:r>
              <w:rPr>
                <w:sz w:val="16"/>
              </w:rPr>
              <w:t>naruší celistvost a funkčnost plochy občanského vybavení</w:t>
            </w:r>
          </w:p>
        </w:tc>
        <w:tc>
          <w:tcPr>
            <w:tcW w:w="5035" w:type="dxa"/>
          </w:tcPr>
          <w:p>
            <w:pPr>
              <w:pStyle w:val="TableParagraph"/>
              <w:ind w:left="0"/>
              <w:rPr>
                <w:rFonts w:ascii="Times New Roman"/>
                <w:sz w:val="16"/>
              </w:rPr>
            </w:pPr>
          </w:p>
        </w:tc>
      </w:tr>
    </w:tbl>
    <w:p>
      <w:pPr>
        <w:spacing w:after="0"/>
        <w:rPr>
          <w:rFonts w:ascii="Times New Roman"/>
          <w:sz w:val="16"/>
        </w:rPr>
        <w:sectPr>
          <w:pgSz w:w="11900" w:h="16840"/>
          <w:pgMar w:header="561" w:footer="582" w:top="760" w:bottom="780" w:left="960" w:right="980"/>
        </w:sectPr>
      </w:pPr>
    </w:p>
    <w:p>
      <w:pPr>
        <w:pStyle w:val="BodyText"/>
        <w:ind w:left="0" w:firstLine="0"/>
        <w:jc w:val="left"/>
        <w:rPr>
          <w:b/>
          <w:sz w:val="20"/>
        </w:rPr>
      </w:pPr>
    </w:p>
    <w:p>
      <w:pPr>
        <w:pStyle w:val="BodyText"/>
        <w:spacing w:before="7"/>
        <w:ind w:left="0" w:firstLine="0"/>
        <w:jc w:val="left"/>
        <w:rPr>
          <w:b/>
          <w:sz w:val="11"/>
        </w:r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03"/>
        <w:gridCol w:w="5035"/>
      </w:tblGrid>
      <w:tr>
        <w:trPr>
          <w:trHeight w:val="563" w:hRule="atLeast"/>
        </w:trPr>
        <w:tc>
          <w:tcPr>
            <w:tcW w:w="4603" w:type="dxa"/>
            <w:shd w:val="clear" w:color="auto" w:fill="32CCCC"/>
          </w:tcPr>
          <w:p>
            <w:pPr>
              <w:pStyle w:val="TableParagraph"/>
              <w:spacing w:line="252" w:lineRule="exact" w:before="60"/>
              <w:ind w:right="618"/>
              <w:rPr>
                <w:b/>
                <w:sz w:val="22"/>
              </w:rPr>
            </w:pPr>
            <w:r>
              <w:rPr>
                <w:b/>
                <w:sz w:val="22"/>
              </w:rPr>
              <w:t>PLOCHY OBČANSKÉHO VYBAVENÍ- HŘBITOVY</w:t>
            </w:r>
          </w:p>
        </w:tc>
        <w:tc>
          <w:tcPr>
            <w:tcW w:w="5035" w:type="dxa"/>
            <w:shd w:val="clear" w:color="auto" w:fill="32CCCC"/>
          </w:tcPr>
          <w:p>
            <w:pPr>
              <w:pStyle w:val="TableParagraph"/>
              <w:spacing w:before="55"/>
              <w:rPr>
                <w:b/>
                <w:sz w:val="22"/>
              </w:rPr>
            </w:pPr>
            <w:r>
              <w:rPr>
                <w:b/>
                <w:w w:val="100"/>
                <w:sz w:val="22"/>
              </w:rPr>
              <w:t>H</w:t>
            </w:r>
          </w:p>
        </w:tc>
      </w:tr>
      <w:tr>
        <w:trPr>
          <w:trHeight w:val="241" w:hRule="atLeast"/>
        </w:trPr>
        <w:tc>
          <w:tcPr>
            <w:tcW w:w="4603" w:type="dxa"/>
            <w:shd w:val="clear" w:color="auto" w:fill="CCFFFF"/>
          </w:tcPr>
          <w:p>
            <w:pPr>
              <w:pStyle w:val="TableParagraph"/>
              <w:spacing w:line="168" w:lineRule="exact" w:before="53"/>
              <w:rPr>
                <w:sz w:val="16"/>
              </w:rPr>
            </w:pPr>
            <w:r>
              <w:rPr>
                <w:sz w:val="16"/>
              </w:rPr>
              <w:t>pozemky pro stavby, zařízení, úpravy, kultury, činnosti</w:t>
            </w:r>
          </w:p>
        </w:tc>
        <w:tc>
          <w:tcPr>
            <w:tcW w:w="5035" w:type="dxa"/>
            <w:shd w:val="clear" w:color="auto" w:fill="CCFFFF"/>
          </w:tcPr>
          <w:p>
            <w:pPr>
              <w:pStyle w:val="TableParagraph"/>
              <w:ind w:left="0"/>
              <w:rPr>
                <w:rFonts w:ascii="Times New Roman"/>
                <w:sz w:val="16"/>
              </w:rPr>
            </w:pPr>
          </w:p>
        </w:tc>
      </w:tr>
      <w:tr>
        <w:trPr>
          <w:trHeight w:val="239" w:hRule="atLeast"/>
        </w:trPr>
        <w:tc>
          <w:tcPr>
            <w:tcW w:w="4603" w:type="dxa"/>
            <w:shd w:val="clear" w:color="auto" w:fill="CCFFFF"/>
          </w:tcPr>
          <w:p>
            <w:pPr>
              <w:pStyle w:val="TableParagraph"/>
              <w:spacing w:line="168" w:lineRule="exact" w:before="51"/>
              <w:rPr>
                <w:b/>
                <w:sz w:val="16"/>
              </w:rPr>
            </w:pPr>
            <w:r>
              <w:rPr>
                <w:b/>
                <w:sz w:val="16"/>
              </w:rPr>
              <w:t>HLAVNÍ VYUŽITÍ</w:t>
            </w:r>
          </w:p>
        </w:tc>
        <w:tc>
          <w:tcPr>
            <w:tcW w:w="5035" w:type="dxa"/>
            <w:shd w:val="clear" w:color="auto" w:fill="CCFFFF"/>
          </w:tcPr>
          <w:p>
            <w:pPr>
              <w:pStyle w:val="TableParagraph"/>
              <w:ind w:left="0"/>
              <w:rPr>
                <w:rFonts w:ascii="Times New Roman"/>
                <w:sz w:val="16"/>
              </w:rPr>
            </w:pPr>
          </w:p>
        </w:tc>
      </w:tr>
      <w:tr>
        <w:trPr>
          <w:trHeight w:val="426" w:hRule="atLeast"/>
        </w:trPr>
        <w:tc>
          <w:tcPr>
            <w:tcW w:w="4603" w:type="dxa"/>
          </w:tcPr>
          <w:p>
            <w:pPr>
              <w:pStyle w:val="TableParagraph"/>
              <w:spacing w:line="180" w:lineRule="atLeast" w:before="53"/>
              <w:ind w:left="155" w:right="87"/>
              <w:rPr>
                <w:sz w:val="16"/>
              </w:rPr>
            </w:pPr>
            <w:r>
              <w:rPr>
                <w:b/>
                <w:sz w:val="16"/>
              </w:rPr>
              <w:t>pohřbívání </w:t>
            </w:r>
            <w:r>
              <w:rPr>
                <w:sz w:val="16"/>
              </w:rPr>
              <w:t>- zejména hroby, urnové háje, márnice, smuteční síně, kaple, kostely, krematoria, rozptylové loučky</w:t>
            </w:r>
          </w:p>
        </w:tc>
        <w:tc>
          <w:tcPr>
            <w:tcW w:w="5035" w:type="dxa"/>
          </w:tcPr>
          <w:p>
            <w:pPr>
              <w:pStyle w:val="TableParagraph"/>
              <w:ind w:left="0"/>
              <w:rPr>
                <w:rFonts w:ascii="Times New Roman"/>
                <w:sz w:val="16"/>
              </w:rPr>
            </w:pPr>
          </w:p>
        </w:tc>
      </w:tr>
      <w:tr>
        <w:trPr>
          <w:trHeight w:val="239" w:hRule="atLeast"/>
        </w:trPr>
        <w:tc>
          <w:tcPr>
            <w:tcW w:w="4603" w:type="dxa"/>
            <w:shd w:val="clear" w:color="auto" w:fill="CCFFFF"/>
          </w:tcPr>
          <w:p>
            <w:pPr>
              <w:pStyle w:val="TableParagraph"/>
              <w:spacing w:line="168" w:lineRule="exact" w:before="51"/>
              <w:rPr>
                <w:b/>
                <w:sz w:val="16"/>
              </w:rPr>
            </w:pPr>
            <w:r>
              <w:rPr>
                <w:b/>
                <w:sz w:val="16"/>
              </w:rPr>
              <w:t>PŘÍPUSTNÉ VYUŽITÍ</w:t>
            </w:r>
          </w:p>
        </w:tc>
        <w:tc>
          <w:tcPr>
            <w:tcW w:w="5035" w:type="dxa"/>
            <w:shd w:val="clear" w:color="auto" w:fill="CCFFFF"/>
          </w:tcPr>
          <w:p>
            <w:pPr>
              <w:pStyle w:val="TableParagraph"/>
              <w:ind w:left="0"/>
              <w:rPr>
                <w:rFonts w:ascii="Times New Roman"/>
                <w:sz w:val="16"/>
              </w:rPr>
            </w:pPr>
          </w:p>
        </w:tc>
      </w:tr>
      <w:tr>
        <w:trPr>
          <w:trHeight w:val="241" w:hRule="atLeast"/>
        </w:trPr>
        <w:tc>
          <w:tcPr>
            <w:tcW w:w="4603" w:type="dxa"/>
          </w:tcPr>
          <w:p>
            <w:pPr>
              <w:pStyle w:val="TableParagraph"/>
              <w:spacing w:line="171" w:lineRule="exact" w:before="51"/>
              <w:ind w:left="155"/>
              <w:rPr>
                <w:b/>
                <w:sz w:val="16"/>
              </w:rPr>
            </w:pPr>
            <w:r>
              <w:rPr>
                <w:b/>
                <w:w w:val="100"/>
                <w:sz w:val="16"/>
              </w:rPr>
              <w:t>-</w:t>
            </w:r>
          </w:p>
        </w:tc>
        <w:tc>
          <w:tcPr>
            <w:tcW w:w="5035" w:type="dxa"/>
          </w:tcPr>
          <w:p>
            <w:pPr>
              <w:pStyle w:val="TableParagraph"/>
              <w:ind w:left="0"/>
              <w:rPr>
                <w:rFonts w:ascii="Times New Roman"/>
                <w:sz w:val="16"/>
              </w:rPr>
            </w:pPr>
          </w:p>
        </w:tc>
      </w:tr>
      <w:tr>
        <w:trPr>
          <w:trHeight w:val="1389" w:hRule="atLeast"/>
        </w:trPr>
        <w:tc>
          <w:tcPr>
            <w:tcW w:w="4603" w:type="dxa"/>
            <w:vMerge w:val="restart"/>
            <w:shd w:val="clear" w:color="auto" w:fill="CCFFFF"/>
          </w:tcPr>
          <w:p>
            <w:pPr>
              <w:pStyle w:val="TableParagraph"/>
              <w:spacing w:before="51"/>
              <w:rPr>
                <w:b/>
                <w:sz w:val="16"/>
              </w:rPr>
            </w:pPr>
            <w:r>
              <w:rPr>
                <w:b/>
                <w:sz w:val="16"/>
              </w:rPr>
              <w:t>PODMÍNĚNĚ PŘÍPUSTNÉ VYUŽITÍ</w:t>
            </w:r>
          </w:p>
        </w:tc>
        <w:tc>
          <w:tcPr>
            <w:tcW w:w="5035" w:type="dxa"/>
            <w:shd w:val="clear" w:color="auto" w:fill="CCFFFF"/>
          </w:tcPr>
          <w:p>
            <w:pPr>
              <w:pStyle w:val="TableParagraph"/>
              <w:spacing w:before="51"/>
              <w:ind w:right="260"/>
              <w:rPr>
                <w:sz w:val="16"/>
              </w:rPr>
            </w:pPr>
            <w:r>
              <w:rPr>
                <w:b/>
                <w:sz w:val="16"/>
              </w:rPr>
              <w:t>obecné podmínky: </w:t>
            </w:r>
            <w:r>
              <w:rPr>
                <w:sz w:val="16"/>
              </w:rPr>
              <w:t>prokázat přiměřenost jeho dopadů ve vztahu k hlavnímu a přípustnému využití z hlediska:</w:t>
            </w:r>
          </w:p>
          <w:p>
            <w:pPr>
              <w:pStyle w:val="TableParagraph"/>
              <w:spacing w:before="59"/>
              <w:rPr>
                <w:sz w:val="16"/>
              </w:rPr>
            </w:pPr>
            <w:r>
              <w:rPr>
                <w:sz w:val="16"/>
              </w:rPr>
              <w:t>významu v širším území</w:t>
            </w:r>
          </w:p>
          <w:p>
            <w:pPr>
              <w:pStyle w:val="TableParagraph"/>
              <w:spacing w:line="316" w:lineRule="auto" w:before="56"/>
              <w:ind w:right="1496"/>
              <w:rPr>
                <w:sz w:val="16"/>
              </w:rPr>
            </w:pPr>
            <w:r>
              <w:rPr>
                <w:sz w:val="16"/>
              </w:rPr>
              <w:t>narušení kvality prostředí resp. pohody bydlení charakteru a kapacity napojení na infrastrukturu</w:t>
            </w:r>
          </w:p>
          <w:p>
            <w:pPr>
              <w:pStyle w:val="TableParagraph"/>
              <w:spacing w:line="165" w:lineRule="exact"/>
              <w:rPr>
                <w:sz w:val="16"/>
              </w:rPr>
            </w:pPr>
            <w:r>
              <w:rPr>
                <w:sz w:val="16"/>
              </w:rPr>
              <w:t>vyvolaných omezení ve smyslu hygienických a dalších předpisů</w:t>
            </w:r>
          </w:p>
        </w:tc>
      </w:tr>
      <w:tr>
        <w:trPr>
          <w:trHeight w:val="239" w:hRule="atLeast"/>
        </w:trPr>
        <w:tc>
          <w:tcPr>
            <w:tcW w:w="4603" w:type="dxa"/>
            <w:vMerge/>
            <w:tcBorders>
              <w:top w:val="nil"/>
            </w:tcBorders>
            <w:shd w:val="clear" w:color="auto" w:fill="CCFFFF"/>
          </w:tcPr>
          <w:p>
            <w:pPr>
              <w:rPr>
                <w:sz w:val="2"/>
                <w:szCs w:val="2"/>
              </w:rPr>
            </w:pPr>
          </w:p>
        </w:tc>
        <w:tc>
          <w:tcPr>
            <w:tcW w:w="5035" w:type="dxa"/>
            <w:shd w:val="clear" w:color="auto" w:fill="CCFFFF"/>
          </w:tcPr>
          <w:p>
            <w:pPr>
              <w:pStyle w:val="TableParagraph"/>
              <w:spacing w:line="168" w:lineRule="exact" w:before="51"/>
              <w:rPr>
                <w:b/>
                <w:sz w:val="16"/>
              </w:rPr>
            </w:pPr>
            <w:r>
              <w:rPr>
                <w:b/>
                <w:sz w:val="16"/>
              </w:rPr>
              <w:t>specifické podmínky:</w:t>
            </w:r>
          </w:p>
        </w:tc>
      </w:tr>
      <w:tr>
        <w:trPr>
          <w:trHeight w:val="244" w:hRule="atLeast"/>
        </w:trPr>
        <w:tc>
          <w:tcPr>
            <w:tcW w:w="4603" w:type="dxa"/>
          </w:tcPr>
          <w:p>
            <w:pPr>
              <w:pStyle w:val="TableParagraph"/>
              <w:spacing w:line="168" w:lineRule="exact" w:before="56"/>
              <w:rPr>
                <w:sz w:val="16"/>
              </w:rPr>
            </w:pPr>
            <w:r>
              <w:rPr>
                <w:sz w:val="16"/>
              </w:rPr>
              <w:t>Zahradnictví</w:t>
            </w:r>
          </w:p>
        </w:tc>
        <w:tc>
          <w:tcPr>
            <w:tcW w:w="5035" w:type="dxa"/>
          </w:tcPr>
          <w:p>
            <w:pPr>
              <w:pStyle w:val="TableParagraph"/>
              <w:spacing w:line="171" w:lineRule="exact" w:before="53"/>
              <w:rPr>
                <w:sz w:val="16"/>
              </w:rPr>
            </w:pPr>
            <w:r>
              <w:rPr>
                <w:sz w:val="16"/>
              </w:rPr>
              <w:t>slouží bezprostředně k zajištění hlavního využití dané plochy</w:t>
            </w:r>
          </w:p>
        </w:tc>
      </w:tr>
      <w:tr>
        <w:trPr>
          <w:trHeight w:val="5101" w:hRule="atLeast"/>
        </w:trPr>
        <w:tc>
          <w:tcPr>
            <w:tcW w:w="4603" w:type="dxa"/>
          </w:tcPr>
          <w:p>
            <w:pPr>
              <w:pStyle w:val="TableParagraph"/>
              <w:spacing w:before="106"/>
              <w:rPr>
                <w:b/>
                <w:sz w:val="16"/>
              </w:rPr>
            </w:pPr>
            <w:r>
              <w:rPr>
                <w:b/>
                <w:sz w:val="16"/>
              </w:rPr>
              <w:t>základní vybavenost území</w:t>
            </w:r>
          </w:p>
          <w:p>
            <w:pPr>
              <w:pStyle w:val="TableParagraph"/>
              <w:spacing w:before="61"/>
              <w:ind w:right="450"/>
              <w:rPr>
                <w:sz w:val="16"/>
              </w:rPr>
            </w:pPr>
            <w:r>
              <w:rPr>
                <w:sz w:val="16"/>
              </w:rPr>
              <w:t>terénní úpravy kromě těžebních prací a skládek odpadů, opěrné zdi, propustky a přemostění, oplocení</w:t>
            </w:r>
          </w:p>
          <w:p>
            <w:pPr>
              <w:pStyle w:val="TableParagraph"/>
              <w:spacing w:before="57"/>
              <w:ind w:right="189" w:hanging="1"/>
              <w:rPr>
                <w:sz w:val="16"/>
              </w:rPr>
            </w:pPr>
            <w:r>
              <w:rPr>
                <w:sz w:val="16"/>
              </w:rPr>
              <w:t>vodní toky a vodní plochy do 300 m</w:t>
            </w:r>
            <w:r>
              <w:rPr>
                <w:sz w:val="16"/>
                <w:vertAlign w:val="superscript"/>
              </w:rPr>
              <w:t>2</w:t>
            </w:r>
            <w:r>
              <w:rPr>
                <w:sz w:val="16"/>
                <w:vertAlign w:val="baseline"/>
              </w:rPr>
              <w:t>, parkové, sadovnické a zahradnické úpravy, pobytové louky, plošné a liniové prvky ochranné a doprovodné zeleně vč. biokoridorů ÚSES a IP</w:t>
            </w:r>
          </w:p>
          <w:p>
            <w:pPr>
              <w:pStyle w:val="TableParagraph"/>
              <w:spacing w:before="58"/>
              <w:ind w:right="139" w:hanging="1"/>
              <w:rPr>
                <w:sz w:val="16"/>
              </w:rPr>
            </w:pPr>
            <w:r>
              <w:rPr>
                <w:sz w:val="16"/>
              </w:rPr>
              <w:t>veřejná prostranství - místní komunikace zpřístupňující objekty a pozemky v ploše, komunikace, pobytové prostory s vyloučením motorové dopravy, zastávky VDO, parkování</w:t>
            </w:r>
            <w:r>
              <w:rPr>
                <w:spacing w:val="-22"/>
                <w:sz w:val="16"/>
              </w:rPr>
              <w:t> </w:t>
            </w:r>
            <w:r>
              <w:rPr>
                <w:sz w:val="16"/>
              </w:rPr>
              <w:t>OA</w:t>
            </w:r>
          </w:p>
          <w:p>
            <w:pPr>
              <w:pStyle w:val="TableParagraph"/>
              <w:spacing w:before="57"/>
              <w:ind w:right="156"/>
              <w:rPr>
                <w:sz w:val="16"/>
              </w:rPr>
            </w:pPr>
            <w:r>
              <w:rPr>
                <w:sz w:val="16"/>
              </w:rPr>
              <w:t>technická infrastruktura - liniové stavby a plošně nenáročná zařízení vodovodů, kanalizace, produktovodů, energetických zařízení vč. obnovitelných zdrojů, elektronických</w:t>
            </w:r>
            <w:r>
              <w:rPr>
                <w:spacing w:val="-22"/>
                <w:sz w:val="16"/>
              </w:rPr>
              <w:t> </w:t>
            </w:r>
            <w:r>
              <w:rPr>
                <w:sz w:val="16"/>
              </w:rPr>
              <w:t>komunikací</w:t>
            </w:r>
          </w:p>
          <w:p>
            <w:pPr>
              <w:pStyle w:val="TableParagraph"/>
              <w:spacing w:before="55"/>
              <w:ind w:right="361"/>
              <w:rPr>
                <w:sz w:val="16"/>
              </w:rPr>
            </w:pPr>
            <w:r>
              <w:rPr>
                <w:sz w:val="16"/>
              </w:rPr>
              <w:t>správa a údržba, technologická zařízení, přístřešky pro skladování a manipulaci nesloužící pro hořlavé, chemické látky, které mohou způsobit znečištění životního prostředí</w:t>
            </w:r>
          </w:p>
          <w:p>
            <w:pPr>
              <w:pStyle w:val="TableParagraph"/>
              <w:spacing w:before="58"/>
              <w:ind w:right="610"/>
              <w:rPr>
                <w:sz w:val="16"/>
              </w:rPr>
            </w:pPr>
            <w:r>
              <w:rPr>
                <w:sz w:val="16"/>
              </w:rPr>
              <w:t>rekreace - hřiště, mobiliář, přístřešky pro obsluhu, občerstvení a hygienu, stavby drobné architektury bez pobytových místností</w:t>
            </w:r>
          </w:p>
          <w:p>
            <w:pPr>
              <w:pStyle w:val="TableParagraph"/>
              <w:spacing w:before="58"/>
              <w:ind w:right="140"/>
              <w:rPr>
                <w:sz w:val="16"/>
              </w:rPr>
            </w:pPr>
            <w:r>
              <w:rPr>
                <w:sz w:val="16"/>
              </w:rPr>
              <w:t>pěstitelská a chovatelská činnost - skleníky, kotce, přístřešky pro hospodaření</w:t>
            </w:r>
          </w:p>
          <w:p>
            <w:pPr>
              <w:pStyle w:val="TableParagraph"/>
              <w:spacing w:line="312" w:lineRule="auto" w:before="57"/>
              <w:ind w:right="726" w:hanging="1"/>
              <w:rPr>
                <w:sz w:val="16"/>
              </w:rPr>
            </w:pPr>
            <w:r>
              <w:rPr>
                <w:sz w:val="16"/>
              </w:rPr>
              <w:t>informační zařízení do 8 m</w:t>
            </w:r>
            <w:r>
              <w:rPr>
                <w:sz w:val="16"/>
                <w:vertAlign w:val="superscript"/>
              </w:rPr>
              <w:t>2</w:t>
            </w:r>
            <w:r>
              <w:rPr>
                <w:sz w:val="16"/>
                <w:vertAlign w:val="baseline"/>
              </w:rPr>
              <w:t> informační plochy ochrana před povodněmi, erozí, hlukem, exhalacemi</w:t>
            </w:r>
          </w:p>
          <w:p>
            <w:pPr>
              <w:pStyle w:val="TableParagraph"/>
              <w:spacing w:line="182" w:lineRule="exact" w:before="10"/>
              <w:ind w:right="201"/>
              <w:rPr>
                <w:sz w:val="16"/>
              </w:rPr>
            </w:pPr>
            <w:r>
              <w:rPr>
                <w:sz w:val="16"/>
              </w:rPr>
              <w:t>integrované stavby a zařízení: bydlení správce, občanské vybavení, nerušící výroba, chovatelská a pěstitelská činnost</w:t>
            </w:r>
          </w:p>
        </w:tc>
        <w:tc>
          <w:tcPr>
            <w:tcW w:w="5035" w:type="dxa"/>
          </w:tcPr>
          <w:p>
            <w:pPr>
              <w:pStyle w:val="TableParagraph"/>
              <w:spacing w:before="53"/>
              <w:ind w:right="918"/>
              <w:rPr>
                <w:sz w:val="16"/>
              </w:rPr>
            </w:pPr>
            <w:r>
              <w:rPr>
                <w:sz w:val="16"/>
              </w:rPr>
              <w:t>slouží bezprostředně k zajištění hlavního, přípustného a podmíněně přípustného využití dané plochy</w:t>
            </w:r>
          </w:p>
          <w:p>
            <w:pPr>
              <w:pStyle w:val="TableParagraph"/>
              <w:spacing w:before="57"/>
              <w:ind w:right="223"/>
              <w:rPr>
                <w:sz w:val="16"/>
              </w:rPr>
            </w:pPr>
            <w:r>
              <w:rPr>
                <w:sz w:val="16"/>
              </w:rPr>
              <w:t>budou uplatněny podmínky prostorového uspořádání odpovídající podmínkám prostorového uspořádání dané plochy</w:t>
            </w:r>
          </w:p>
        </w:tc>
      </w:tr>
      <w:tr>
        <w:trPr>
          <w:trHeight w:val="297" w:hRule="atLeast"/>
        </w:trPr>
        <w:tc>
          <w:tcPr>
            <w:tcW w:w="4603" w:type="dxa"/>
            <w:shd w:val="clear" w:color="auto" w:fill="CCFFFF"/>
          </w:tcPr>
          <w:p>
            <w:pPr>
              <w:pStyle w:val="TableParagraph"/>
              <w:spacing w:line="171" w:lineRule="exact" w:before="106"/>
              <w:rPr>
                <w:b/>
                <w:sz w:val="16"/>
              </w:rPr>
            </w:pPr>
            <w:r>
              <w:rPr>
                <w:b/>
                <w:sz w:val="16"/>
              </w:rPr>
              <w:t>NEPŘÍPUSTNÉ VYUŽITÍ</w:t>
            </w:r>
          </w:p>
        </w:tc>
        <w:tc>
          <w:tcPr>
            <w:tcW w:w="5035" w:type="dxa"/>
            <w:shd w:val="clear" w:color="auto" w:fill="CCFFFF"/>
          </w:tcPr>
          <w:p>
            <w:pPr>
              <w:pStyle w:val="TableParagraph"/>
              <w:ind w:left="0"/>
              <w:rPr>
                <w:rFonts w:ascii="Times New Roman"/>
                <w:sz w:val="16"/>
              </w:rPr>
            </w:pPr>
          </w:p>
        </w:tc>
      </w:tr>
      <w:tr>
        <w:trPr>
          <w:trHeight w:val="779" w:hRule="atLeast"/>
        </w:trPr>
        <w:tc>
          <w:tcPr>
            <w:tcW w:w="4603" w:type="dxa"/>
          </w:tcPr>
          <w:p>
            <w:pPr>
              <w:pStyle w:val="TableParagraph"/>
              <w:spacing w:before="106"/>
              <w:rPr>
                <w:b/>
                <w:sz w:val="16"/>
              </w:rPr>
            </w:pPr>
            <w:r>
              <w:rPr>
                <w:b/>
                <w:sz w:val="16"/>
              </w:rPr>
              <w:t>zejména využití, u kterého existuje riziko, že:</w:t>
            </w:r>
          </w:p>
          <w:p>
            <w:pPr>
              <w:pStyle w:val="TableParagraph"/>
              <w:spacing w:line="240" w:lineRule="atLeast" w:before="5"/>
              <w:ind w:right="1313"/>
              <w:rPr>
                <w:sz w:val="16"/>
              </w:rPr>
            </w:pPr>
            <w:r>
              <w:rPr>
                <w:sz w:val="16"/>
              </w:rPr>
              <w:t>naruší kvalitu prostředí plochy hřbitova naruší celistvost a funkčnost plochy hřbitova</w:t>
            </w:r>
          </w:p>
        </w:tc>
        <w:tc>
          <w:tcPr>
            <w:tcW w:w="5035" w:type="dxa"/>
          </w:tcPr>
          <w:p>
            <w:pPr>
              <w:pStyle w:val="TableParagraph"/>
              <w:ind w:left="0"/>
              <w:rPr>
                <w:rFonts w:ascii="Times New Roman"/>
                <w:sz w:val="16"/>
              </w:rPr>
            </w:pPr>
          </w:p>
        </w:tc>
      </w:tr>
    </w:tbl>
    <w:p>
      <w:pPr>
        <w:spacing w:after="0"/>
        <w:rPr>
          <w:rFonts w:ascii="Times New Roman"/>
          <w:sz w:val="16"/>
        </w:rPr>
        <w:sectPr>
          <w:pgSz w:w="11900" w:h="16840"/>
          <w:pgMar w:header="561" w:footer="582" w:top="760" w:bottom="780" w:left="960" w:right="980"/>
        </w:sectPr>
      </w:pPr>
    </w:p>
    <w:p>
      <w:pPr>
        <w:pStyle w:val="BodyText"/>
        <w:ind w:left="0" w:firstLine="0"/>
        <w:jc w:val="left"/>
        <w:rPr>
          <w:b/>
          <w:sz w:val="20"/>
        </w:rPr>
      </w:pPr>
    </w:p>
    <w:p>
      <w:pPr>
        <w:pStyle w:val="BodyText"/>
        <w:spacing w:before="7"/>
        <w:ind w:left="0" w:firstLine="0"/>
        <w:jc w:val="left"/>
        <w:rPr>
          <w:b/>
          <w:sz w:val="11"/>
        </w:r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03"/>
        <w:gridCol w:w="5035"/>
      </w:tblGrid>
      <w:tr>
        <w:trPr>
          <w:trHeight w:val="563" w:hRule="atLeast"/>
        </w:trPr>
        <w:tc>
          <w:tcPr>
            <w:tcW w:w="4603" w:type="dxa"/>
            <w:shd w:val="clear" w:color="auto" w:fill="32CCCC"/>
          </w:tcPr>
          <w:p>
            <w:pPr>
              <w:pStyle w:val="TableParagraph"/>
              <w:spacing w:line="252" w:lineRule="exact" w:before="60"/>
              <w:ind w:right="556"/>
              <w:rPr>
                <w:b/>
                <w:sz w:val="22"/>
              </w:rPr>
            </w:pPr>
            <w:r>
              <w:rPr>
                <w:b/>
                <w:sz w:val="22"/>
              </w:rPr>
              <w:t>PLOCHY OBČANSKÉHO VYBAVENÍ - SPORT</w:t>
            </w:r>
          </w:p>
        </w:tc>
        <w:tc>
          <w:tcPr>
            <w:tcW w:w="5035" w:type="dxa"/>
            <w:shd w:val="clear" w:color="auto" w:fill="32CCCC"/>
          </w:tcPr>
          <w:p>
            <w:pPr>
              <w:pStyle w:val="TableParagraph"/>
              <w:spacing w:before="55"/>
              <w:rPr>
                <w:b/>
                <w:sz w:val="22"/>
              </w:rPr>
            </w:pPr>
            <w:r>
              <w:rPr>
                <w:b/>
                <w:w w:val="100"/>
                <w:sz w:val="22"/>
              </w:rPr>
              <w:t>S</w:t>
            </w:r>
          </w:p>
        </w:tc>
      </w:tr>
      <w:tr>
        <w:trPr>
          <w:trHeight w:val="241" w:hRule="atLeast"/>
        </w:trPr>
        <w:tc>
          <w:tcPr>
            <w:tcW w:w="4603" w:type="dxa"/>
            <w:shd w:val="clear" w:color="auto" w:fill="CCFFFF"/>
          </w:tcPr>
          <w:p>
            <w:pPr>
              <w:pStyle w:val="TableParagraph"/>
              <w:spacing w:line="168" w:lineRule="exact" w:before="53"/>
              <w:rPr>
                <w:sz w:val="16"/>
              </w:rPr>
            </w:pPr>
            <w:r>
              <w:rPr>
                <w:sz w:val="16"/>
              </w:rPr>
              <w:t>pozemky pro stavby, zařízení, úpravy, kultury, činnosti</w:t>
            </w:r>
          </w:p>
        </w:tc>
        <w:tc>
          <w:tcPr>
            <w:tcW w:w="5035" w:type="dxa"/>
            <w:shd w:val="clear" w:color="auto" w:fill="CCFFFF"/>
          </w:tcPr>
          <w:p>
            <w:pPr>
              <w:pStyle w:val="TableParagraph"/>
              <w:ind w:left="0"/>
              <w:rPr>
                <w:rFonts w:ascii="Times New Roman"/>
                <w:sz w:val="16"/>
              </w:rPr>
            </w:pPr>
          </w:p>
        </w:tc>
      </w:tr>
      <w:tr>
        <w:trPr>
          <w:trHeight w:val="239" w:hRule="atLeast"/>
        </w:trPr>
        <w:tc>
          <w:tcPr>
            <w:tcW w:w="4603" w:type="dxa"/>
            <w:shd w:val="clear" w:color="auto" w:fill="CCFFFF"/>
          </w:tcPr>
          <w:p>
            <w:pPr>
              <w:pStyle w:val="TableParagraph"/>
              <w:spacing w:line="168" w:lineRule="exact" w:before="51"/>
              <w:rPr>
                <w:b/>
                <w:sz w:val="16"/>
              </w:rPr>
            </w:pPr>
            <w:r>
              <w:rPr>
                <w:b/>
                <w:sz w:val="16"/>
              </w:rPr>
              <w:t>HLAVNÍ VYUŽITÍ</w:t>
            </w:r>
          </w:p>
        </w:tc>
        <w:tc>
          <w:tcPr>
            <w:tcW w:w="5035" w:type="dxa"/>
            <w:shd w:val="clear" w:color="auto" w:fill="CCFFFF"/>
          </w:tcPr>
          <w:p>
            <w:pPr>
              <w:pStyle w:val="TableParagraph"/>
              <w:ind w:left="0"/>
              <w:rPr>
                <w:rFonts w:ascii="Times New Roman"/>
                <w:sz w:val="16"/>
              </w:rPr>
            </w:pPr>
          </w:p>
        </w:tc>
      </w:tr>
      <w:tr>
        <w:trPr>
          <w:trHeight w:val="849" w:hRule="atLeast"/>
        </w:trPr>
        <w:tc>
          <w:tcPr>
            <w:tcW w:w="4603" w:type="dxa"/>
          </w:tcPr>
          <w:p>
            <w:pPr>
              <w:pStyle w:val="TableParagraph"/>
              <w:spacing w:before="109"/>
              <w:ind w:left="155" w:right="140"/>
              <w:rPr>
                <w:sz w:val="16"/>
              </w:rPr>
            </w:pPr>
            <w:r>
              <w:rPr>
                <w:b/>
                <w:sz w:val="16"/>
              </w:rPr>
              <w:t>sportovní a intenzivní rekreační aktivity provozované převážně v uzavřených objektech </w:t>
            </w:r>
            <w:r>
              <w:rPr>
                <w:sz w:val="16"/>
              </w:rPr>
              <w:t>- zejména stadióny, sportovní haly, tělocvičny, sokolovny, bazény, krytá hřiště se</w:t>
            </w:r>
          </w:p>
          <w:p>
            <w:pPr>
              <w:pStyle w:val="TableParagraph"/>
              <w:spacing w:line="166" w:lineRule="exact" w:before="2"/>
              <w:ind w:left="155"/>
              <w:rPr>
                <w:sz w:val="16"/>
              </w:rPr>
            </w:pPr>
            <w:r>
              <w:rPr>
                <w:sz w:val="16"/>
              </w:rPr>
              <w:t>zvláštním vybavením</w:t>
            </w:r>
          </w:p>
        </w:tc>
        <w:tc>
          <w:tcPr>
            <w:tcW w:w="5035" w:type="dxa"/>
          </w:tcPr>
          <w:p>
            <w:pPr>
              <w:pStyle w:val="TableParagraph"/>
              <w:ind w:left="0"/>
              <w:rPr>
                <w:rFonts w:ascii="Times New Roman"/>
                <w:sz w:val="16"/>
              </w:rPr>
            </w:pPr>
          </w:p>
        </w:tc>
      </w:tr>
      <w:tr>
        <w:trPr>
          <w:trHeight w:val="1033" w:hRule="atLeast"/>
        </w:trPr>
        <w:tc>
          <w:tcPr>
            <w:tcW w:w="4603" w:type="dxa"/>
          </w:tcPr>
          <w:p>
            <w:pPr>
              <w:pStyle w:val="TableParagraph"/>
              <w:spacing w:line="242" w:lineRule="auto" w:before="106"/>
              <w:ind w:left="155" w:right="69"/>
              <w:rPr>
                <w:sz w:val="16"/>
              </w:rPr>
            </w:pPr>
            <w:r>
              <w:rPr>
                <w:b/>
                <w:sz w:val="16"/>
              </w:rPr>
              <w:t>sportovní a intenzivní rekreační aktivity provozované na otevřených plochách </w:t>
            </w:r>
            <w:r>
              <w:rPr>
                <w:sz w:val="16"/>
              </w:rPr>
              <w:t>- zejména, lyžařské skokanské areály, stavebně upravená hřiště, cyklistické, běžecké, jezdecké</w:t>
            </w:r>
            <w:r>
              <w:rPr>
                <w:spacing w:val="-14"/>
                <w:sz w:val="16"/>
              </w:rPr>
              <w:t> </w:t>
            </w:r>
            <w:r>
              <w:rPr>
                <w:sz w:val="16"/>
              </w:rPr>
              <w:t>a</w:t>
            </w:r>
          </w:p>
          <w:p>
            <w:pPr>
              <w:pStyle w:val="TableParagraph"/>
              <w:spacing w:line="182" w:lineRule="exact" w:before="4"/>
              <w:ind w:left="155" w:right="140"/>
              <w:rPr>
                <w:sz w:val="16"/>
              </w:rPr>
            </w:pPr>
            <w:r>
              <w:rPr>
                <w:sz w:val="16"/>
              </w:rPr>
              <w:t>jiné nemotoristické areály, areály vodních sportů vč. vodních ploch pro sportovně rekreační využití, kynologická</w:t>
            </w:r>
            <w:r>
              <w:rPr>
                <w:spacing w:val="-15"/>
                <w:sz w:val="16"/>
              </w:rPr>
              <w:t> </w:t>
            </w:r>
            <w:r>
              <w:rPr>
                <w:sz w:val="16"/>
              </w:rPr>
              <w:t>cvičiště</w:t>
            </w:r>
          </w:p>
        </w:tc>
        <w:tc>
          <w:tcPr>
            <w:tcW w:w="5035" w:type="dxa"/>
          </w:tcPr>
          <w:p>
            <w:pPr>
              <w:pStyle w:val="TableParagraph"/>
              <w:ind w:left="0"/>
              <w:rPr>
                <w:rFonts w:ascii="Times New Roman"/>
                <w:sz w:val="16"/>
              </w:rPr>
            </w:pPr>
          </w:p>
        </w:tc>
      </w:tr>
      <w:tr>
        <w:trPr>
          <w:trHeight w:val="239" w:hRule="atLeast"/>
        </w:trPr>
        <w:tc>
          <w:tcPr>
            <w:tcW w:w="4603" w:type="dxa"/>
            <w:shd w:val="clear" w:color="auto" w:fill="CCFFFF"/>
          </w:tcPr>
          <w:p>
            <w:pPr>
              <w:pStyle w:val="TableParagraph"/>
              <w:spacing w:line="168" w:lineRule="exact" w:before="51"/>
              <w:rPr>
                <w:b/>
                <w:sz w:val="16"/>
              </w:rPr>
            </w:pPr>
            <w:r>
              <w:rPr>
                <w:b/>
                <w:sz w:val="16"/>
              </w:rPr>
              <w:t>PŘÍPUSTNÉ VYUŽITÍ</w:t>
            </w:r>
          </w:p>
        </w:tc>
        <w:tc>
          <w:tcPr>
            <w:tcW w:w="5035" w:type="dxa"/>
            <w:shd w:val="clear" w:color="auto" w:fill="CCFFFF"/>
          </w:tcPr>
          <w:p>
            <w:pPr>
              <w:pStyle w:val="TableParagraph"/>
              <w:ind w:left="0"/>
              <w:rPr>
                <w:rFonts w:ascii="Times New Roman"/>
                <w:sz w:val="16"/>
              </w:rPr>
            </w:pPr>
          </w:p>
        </w:tc>
      </w:tr>
      <w:tr>
        <w:trPr>
          <w:trHeight w:val="297" w:hRule="atLeast"/>
        </w:trPr>
        <w:tc>
          <w:tcPr>
            <w:tcW w:w="4603" w:type="dxa"/>
          </w:tcPr>
          <w:p>
            <w:pPr>
              <w:pStyle w:val="TableParagraph"/>
              <w:spacing w:line="168" w:lineRule="exact" w:before="109"/>
              <w:ind w:left="155"/>
              <w:rPr>
                <w:sz w:val="16"/>
              </w:rPr>
            </w:pPr>
            <w:r>
              <w:rPr>
                <w:b/>
                <w:sz w:val="16"/>
              </w:rPr>
              <w:t>rekreace </w:t>
            </w:r>
            <w:r>
              <w:rPr>
                <w:sz w:val="16"/>
              </w:rPr>
              <w:t>- veřejná tábořiště, autokempy, rozhledny</w:t>
            </w:r>
          </w:p>
        </w:tc>
        <w:tc>
          <w:tcPr>
            <w:tcW w:w="5035" w:type="dxa"/>
          </w:tcPr>
          <w:p>
            <w:pPr>
              <w:pStyle w:val="TableParagraph"/>
              <w:ind w:left="0"/>
              <w:rPr>
                <w:rFonts w:ascii="Times New Roman"/>
                <w:sz w:val="16"/>
              </w:rPr>
            </w:pPr>
          </w:p>
        </w:tc>
      </w:tr>
      <w:tr>
        <w:trPr>
          <w:trHeight w:val="1389" w:hRule="atLeast"/>
        </w:trPr>
        <w:tc>
          <w:tcPr>
            <w:tcW w:w="4603" w:type="dxa"/>
            <w:vMerge w:val="restart"/>
            <w:shd w:val="clear" w:color="auto" w:fill="CCFFFF"/>
          </w:tcPr>
          <w:p>
            <w:pPr>
              <w:pStyle w:val="TableParagraph"/>
              <w:spacing w:before="51"/>
              <w:rPr>
                <w:b/>
                <w:sz w:val="16"/>
              </w:rPr>
            </w:pPr>
            <w:r>
              <w:rPr>
                <w:b/>
                <w:sz w:val="16"/>
              </w:rPr>
              <w:t>PODMÍNĚNĚ PŘÍPUSTNÉ VYUŽITÍ</w:t>
            </w:r>
          </w:p>
        </w:tc>
        <w:tc>
          <w:tcPr>
            <w:tcW w:w="5035" w:type="dxa"/>
            <w:shd w:val="clear" w:color="auto" w:fill="CCFFFF"/>
          </w:tcPr>
          <w:p>
            <w:pPr>
              <w:pStyle w:val="TableParagraph"/>
              <w:spacing w:line="244" w:lineRule="auto" w:before="51"/>
              <w:ind w:right="260"/>
              <w:rPr>
                <w:sz w:val="16"/>
              </w:rPr>
            </w:pPr>
            <w:r>
              <w:rPr>
                <w:b/>
                <w:sz w:val="16"/>
              </w:rPr>
              <w:t>obecné podmínky: </w:t>
            </w:r>
            <w:r>
              <w:rPr>
                <w:sz w:val="16"/>
              </w:rPr>
              <w:t>prokázat přiměřenost jeho dopadů ve vztahu k hlavnímu a přípustnému využití z hlediska:</w:t>
            </w:r>
          </w:p>
          <w:p>
            <w:pPr>
              <w:pStyle w:val="TableParagraph"/>
              <w:spacing w:before="54"/>
              <w:rPr>
                <w:sz w:val="16"/>
              </w:rPr>
            </w:pPr>
            <w:r>
              <w:rPr>
                <w:sz w:val="16"/>
              </w:rPr>
              <w:t>významu v širším území</w:t>
            </w:r>
          </w:p>
          <w:p>
            <w:pPr>
              <w:pStyle w:val="TableParagraph"/>
              <w:spacing w:line="312" w:lineRule="auto" w:before="56"/>
              <w:ind w:right="1496"/>
              <w:rPr>
                <w:sz w:val="16"/>
              </w:rPr>
            </w:pPr>
            <w:r>
              <w:rPr>
                <w:sz w:val="16"/>
              </w:rPr>
              <w:t>narušení kvality prostředí resp. pohody bydlení charakteru a kapacity napojení na infrastrukturu</w:t>
            </w:r>
          </w:p>
          <w:p>
            <w:pPr>
              <w:pStyle w:val="TableParagraph"/>
              <w:spacing w:line="166" w:lineRule="exact" w:before="4"/>
              <w:rPr>
                <w:sz w:val="16"/>
              </w:rPr>
            </w:pPr>
            <w:r>
              <w:rPr>
                <w:sz w:val="16"/>
              </w:rPr>
              <w:t>vyvolaných omezení ve smyslu hygienických a dalších předpisů</w:t>
            </w:r>
          </w:p>
        </w:tc>
      </w:tr>
      <w:tr>
        <w:trPr>
          <w:trHeight w:val="241" w:hRule="atLeast"/>
        </w:trPr>
        <w:tc>
          <w:tcPr>
            <w:tcW w:w="4603" w:type="dxa"/>
            <w:vMerge/>
            <w:tcBorders>
              <w:top w:val="nil"/>
            </w:tcBorders>
            <w:shd w:val="clear" w:color="auto" w:fill="CCFFFF"/>
          </w:tcPr>
          <w:p>
            <w:pPr>
              <w:rPr>
                <w:sz w:val="2"/>
                <w:szCs w:val="2"/>
              </w:rPr>
            </w:pPr>
          </w:p>
        </w:tc>
        <w:tc>
          <w:tcPr>
            <w:tcW w:w="5035" w:type="dxa"/>
            <w:shd w:val="clear" w:color="auto" w:fill="CCFFFF"/>
          </w:tcPr>
          <w:p>
            <w:pPr>
              <w:pStyle w:val="TableParagraph"/>
              <w:spacing w:line="171" w:lineRule="exact" w:before="51"/>
              <w:rPr>
                <w:b/>
                <w:sz w:val="16"/>
              </w:rPr>
            </w:pPr>
            <w:r>
              <w:rPr>
                <w:b/>
                <w:sz w:val="16"/>
              </w:rPr>
              <w:t>specifické podmínky:</w:t>
            </w:r>
          </w:p>
        </w:tc>
      </w:tr>
      <w:tr>
        <w:trPr>
          <w:trHeight w:val="424" w:hRule="atLeast"/>
        </w:trPr>
        <w:tc>
          <w:tcPr>
            <w:tcW w:w="4603" w:type="dxa"/>
          </w:tcPr>
          <w:p>
            <w:pPr>
              <w:pStyle w:val="TableParagraph"/>
              <w:spacing w:line="180" w:lineRule="atLeast" w:before="51"/>
              <w:ind w:left="155" w:right="585"/>
              <w:rPr>
                <w:sz w:val="16"/>
              </w:rPr>
            </w:pPr>
            <w:r>
              <w:rPr>
                <w:b/>
                <w:sz w:val="16"/>
              </w:rPr>
              <w:t>občanské vybavení </w:t>
            </w:r>
            <w:r>
              <w:rPr>
                <w:sz w:val="16"/>
              </w:rPr>
              <w:t>- zejména restaurace, služby pro rekreaci a cestovní ruch</w:t>
            </w:r>
          </w:p>
        </w:tc>
        <w:tc>
          <w:tcPr>
            <w:tcW w:w="5035" w:type="dxa"/>
            <w:vMerge w:val="restart"/>
          </w:tcPr>
          <w:p>
            <w:pPr>
              <w:pStyle w:val="TableParagraph"/>
              <w:spacing w:before="53"/>
              <w:rPr>
                <w:sz w:val="16"/>
              </w:rPr>
            </w:pPr>
            <w:r>
              <w:rPr>
                <w:sz w:val="16"/>
              </w:rPr>
              <w:t>slouží bezprostředně k zajištění hlavního využití dané plochy</w:t>
            </w:r>
          </w:p>
        </w:tc>
      </w:tr>
      <w:tr>
        <w:trPr>
          <w:trHeight w:val="241" w:hRule="atLeast"/>
        </w:trPr>
        <w:tc>
          <w:tcPr>
            <w:tcW w:w="4603" w:type="dxa"/>
          </w:tcPr>
          <w:p>
            <w:pPr>
              <w:pStyle w:val="TableParagraph"/>
              <w:spacing w:line="171" w:lineRule="exact" w:before="51"/>
              <w:ind w:left="155"/>
              <w:rPr>
                <w:sz w:val="16"/>
              </w:rPr>
            </w:pPr>
            <w:r>
              <w:rPr>
                <w:b/>
                <w:sz w:val="16"/>
              </w:rPr>
              <w:t>ubytování </w:t>
            </w:r>
            <w:r>
              <w:rPr>
                <w:sz w:val="16"/>
              </w:rPr>
              <w:t>- zejména ubytovny, motely, hotely, penziony</w:t>
            </w:r>
          </w:p>
        </w:tc>
        <w:tc>
          <w:tcPr>
            <w:tcW w:w="5035" w:type="dxa"/>
            <w:vMerge/>
            <w:tcBorders>
              <w:top w:val="nil"/>
            </w:tcBorders>
          </w:tcPr>
          <w:p>
            <w:pPr>
              <w:rPr>
                <w:sz w:val="2"/>
                <w:szCs w:val="2"/>
              </w:rPr>
            </w:pPr>
          </w:p>
        </w:tc>
      </w:tr>
      <w:tr>
        <w:trPr>
          <w:trHeight w:val="241" w:hRule="atLeast"/>
        </w:trPr>
        <w:tc>
          <w:tcPr>
            <w:tcW w:w="4603" w:type="dxa"/>
          </w:tcPr>
          <w:p>
            <w:pPr>
              <w:pStyle w:val="TableParagraph"/>
              <w:spacing w:line="168" w:lineRule="exact" w:before="53"/>
              <w:rPr>
                <w:b/>
                <w:sz w:val="16"/>
              </w:rPr>
            </w:pPr>
            <w:r>
              <w:rPr>
                <w:b/>
                <w:sz w:val="16"/>
              </w:rPr>
              <w:t>stavby pro reklamu</w:t>
            </w:r>
          </w:p>
        </w:tc>
        <w:tc>
          <w:tcPr>
            <w:tcW w:w="5035" w:type="dxa"/>
            <w:vMerge/>
            <w:tcBorders>
              <w:top w:val="nil"/>
            </w:tcBorders>
          </w:tcPr>
          <w:p>
            <w:pPr>
              <w:rPr>
                <w:sz w:val="2"/>
                <w:szCs w:val="2"/>
              </w:rPr>
            </w:pPr>
          </w:p>
        </w:tc>
      </w:tr>
      <w:tr>
        <w:trPr>
          <w:trHeight w:val="481" w:hRule="atLeast"/>
        </w:trPr>
        <w:tc>
          <w:tcPr>
            <w:tcW w:w="4603" w:type="dxa"/>
          </w:tcPr>
          <w:p>
            <w:pPr>
              <w:pStyle w:val="TableParagraph"/>
              <w:spacing w:line="182" w:lineRule="exact" w:before="113"/>
              <w:rPr>
                <w:b/>
                <w:sz w:val="16"/>
              </w:rPr>
            </w:pPr>
            <w:r>
              <w:rPr>
                <w:b/>
                <w:sz w:val="16"/>
              </w:rPr>
              <w:t>liniové stavby technické infrastruktury nadřazených systémů</w:t>
            </w:r>
          </w:p>
        </w:tc>
        <w:tc>
          <w:tcPr>
            <w:tcW w:w="5035" w:type="dxa"/>
          </w:tcPr>
          <w:p>
            <w:pPr>
              <w:pStyle w:val="TableParagraph"/>
              <w:spacing w:before="111"/>
              <w:rPr>
                <w:sz w:val="16"/>
              </w:rPr>
            </w:pPr>
            <w:r>
              <w:rPr>
                <w:sz w:val="16"/>
              </w:rPr>
              <w:t>souvisí bezprostředně s provozem města</w:t>
            </w:r>
          </w:p>
        </w:tc>
      </w:tr>
      <w:tr>
        <w:trPr>
          <w:trHeight w:val="594" w:hRule="atLeast"/>
        </w:trPr>
        <w:tc>
          <w:tcPr>
            <w:tcW w:w="4603" w:type="dxa"/>
          </w:tcPr>
          <w:p>
            <w:pPr>
              <w:pStyle w:val="TableParagraph"/>
              <w:spacing w:before="106"/>
              <w:ind w:right="576"/>
              <w:rPr>
                <w:b/>
                <w:sz w:val="16"/>
              </w:rPr>
            </w:pPr>
            <w:r>
              <w:rPr>
                <w:b/>
                <w:sz w:val="16"/>
              </w:rPr>
              <w:t>plošně nenáročná zařízení technické infrastruktury nadřazených systémů</w:t>
            </w:r>
          </w:p>
        </w:tc>
        <w:tc>
          <w:tcPr>
            <w:tcW w:w="5035" w:type="dxa"/>
          </w:tcPr>
          <w:p>
            <w:pPr>
              <w:pStyle w:val="TableParagraph"/>
              <w:spacing w:before="109"/>
              <w:rPr>
                <w:sz w:val="16"/>
              </w:rPr>
            </w:pPr>
            <w:r>
              <w:rPr>
                <w:sz w:val="16"/>
              </w:rPr>
              <w:t>plocha nepřesáhne 300 m</w:t>
            </w:r>
            <w:r>
              <w:rPr>
                <w:sz w:val="16"/>
                <w:vertAlign w:val="superscript"/>
              </w:rPr>
              <w:t>2</w:t>
            </w:r>
          </w:p>
          <w:p>
            <w:pPr>
              <w:pStyle w:val="TableParagraph"/>
              <w:spacing w:line="168" w:lineRule="exact" w:before="113"/>
              <w:rPr>
                <w:sz w:val="16"/>
              </w:rPr>
            </w:pPr>
            <w:r>
              <w:rPr>
                <w:sz w:val="16"/>
              </w:rPr>
              <w:t>souvisí bezprostředně s provozem města</w:t>
            </w:r>
          </w:p>
        </w:tc>
      </w:tr>
      <w:tr>
        <w:trPr>
          <w:trHeight w:val="5099" w:hRule="atLeast"/>
        </w:trPr>
        <w:tc>
          <w:tcPr>
            <w:tcW w:w="4603" w:type="dxa"/>
          </w:tcPr>
          <w:p>
            <w:pPr>
              <w:pStyle w:val="TableParagraph"/>
              <w:spacing w:before="106"/>
              <w:rPr>
                <w:b/>
                <w:sz w:val="16"/>
              </w:rPr>
            </w:pPr>
            <w:r>
              <w:rPr>
                <w:b/>
                <w:sz w:val="16"/>
              </w:rPr>
              <w:t>základní vybavenost území</w:t>
            </w:r>
          </w:p>
          <w:p>
            <w:pPr>
              <w:pStyle w:val="TableParagraph"/>
              <w:spacing w:before="61"/>
              <w:ind w:right="450"/>
              <w:rPr>
                <w:sz w:val="16"/>
              </w:rPr>
            </w:pPr>
            <w:r>
              <w:rPr>
                <w:sz w:val="16"/>
              </w:rPr>
              <w:t>terénní úpravy kromě těžebních prací a skládek odpadů, opěrné zdi, propustky a přemostění, oplocení</w:t>
            </w:r>
          </w:p>
          <w:p>
            <w:pPr>
              <w:pStyle w:val="TableParagraph"/>
              <w:spacing w:before="57"/>
              <w:ind w:right="189" w:hanging="1"/>
              <w:rPr>
                <w:sz w:val="16"/>
              </w:rPr>
            </w:pPr>
            <w:r>
              <w:rPr>
                <w:sz w:val="16"/>
              </w:rPr>
              <w:t>vodní toky a vodní plochy do 300 m</w:t>
            </w:r>
            <w:r>
              <w:rPr>
                <w:sz w:val="16"/>
                <w:vertAlign w:val="superscript"/>
              </w:rPr>
              <w:t>2</w:t>
            </w:r>
            <w:r>
              <w:rPr>
                <w:sz w:val="16"/>
                <w:vertAlign w:val="baseline"/>
              </w:rPr>
              <w:t>, parkové, sadovnické a zahradnické úpravy, pobytové louky, plošné a liniové prvky ochranné a doprovodné zeleně vč. biokoridorů ÚSES a IP</w:t>
            </w:r>
          </w:p>
          <w:p>
            <w:pPr>
              <w:pStyle w:val="TableParagraph"/>
              <w:spacing w:before="55"/>
              <w:ind w:right="139" w:hanging="1"/>
              <w:rPr>
                <w:sz w:val="16"/>
              </w:rPr>
            </w:pPr>
            <w:r>
              <w:rPr>
                <w:sz w:val="16"/>
              </w:rPr>
              <w:t>veřejná prostranství - místní komunikace zpřístupňující objekty a pozemky v ploše, komunikace, pobytové prostory s vyloučením motorové dopravy, zastávky VDO, parkování</w:t>
            </w:r>
            <w:r>
              <w:rPr>
                <w:spacing w:val="-22"/>
                <w:sz w:val="16"/>
              </w:rPr>
              <w:t> </w:t>
            </w:r>
            <w:r>
              <w:rPr>
                <w:sz w:val="16"/>
              </w:rPr>
              <w:t>OA</w:t>
            </w:r>
          </w:p>
          <w:p>
            <w:pPr>
              <w:pStyle w:val="TableParagraph"/>
              <w:spacing w:before="58"/>
              <w:ind w:right="156"/>
              <w:rPr>
                <w:sz w:val="16"/>
              </w:rPr>
            </w:pPr>
            <w:r>
              <w:rPr>
                <w:sz w:val="16"/>
              </w:rPr>
              <w:t>technická infrastruktura - liniové stavby a plošně nenáročná zařízení vodovodů, kanalizace, produktovodů, energetických zařízení vč. obnovitelných zdrojů, elektronických</w:t>
            </w:r>
            <w:r>
              <w:rPr>
                <w:spacing w:val="-22"/>
                <w:sz w:val="16"/>
              </w:rPr>
              <w:t> </w:t>
            </w:r>
            <w:r>
              <w:rPr>
                <w:sz w:val="16"/>
              </w:rPr>
              <w:t>komunikací</w:t>
            </w:r>
          </w:p>
          <w:p>
            <w:pPr>
              <w:pStyle w:val="TableParagraph"/>
              <w:spacing w:before="57"/>
              <w:ind w:right="361"/>
              <w:rPr>
                <w:sz w:val="16"/>
              </w:rPr>
            </w:pPr>
            <w:r>
              <w:rPr>
                <w:sz w:val="16"/>
              </w:rPr>
              <w:t>správa a údržba, technologická zařízení, přístřešky pro skladování a manipulaci nesloužící pro hořlavé, chemické látky, které mohou způsobit znečištění životního prostředí</w:t>
            </w:r>
          </w:p>
          <w:p>
            <w:pPr>
              <w:pStyle w:val="TableParagraph"/>
              <w:spacing w:before="58"/>
              <w:ind w:right="610"/>
              <w:rPr>
                <w:sz w:val="16"/>
              </w:rPr>
            </w:pPr>
            <w:r>
              <w:rPr>
                <w:sz w:val="16"/>
              </w:rPr>
              <w:t>rekreace - hřiště, mobiliář, přístřešky pro obsluhu, občerstvení a hygienu, stavby drobné architektury bez pobytových místností</w:t>
            </w:r>
          </w:p>
          <w:p>
            <w:pPr>
              <w:pStyle w:val="TableParagraph"/>
              <w:spacing w:before="55"/>
              <w:ind w:right="140"/>
              <w:rPr>
                <w:sz w:val="16"/>
              </w:rPr>
            </w:pPr>
            <w:r>
              <w:rPr>
                <w:sz w:val="16"/>
              </w:rPr>
              <w:t>pěstitelská a chovatelská činnost - skleníky, kotce, přístřešky pro hospodaření</w:t>
            </w:r>
          </w:p>
          <w:p>
            <w:pPr>
              <w:pStyle w:val="TableParagraph"/>
              <w:spacing w:line="316" w:lineRule="auto" w:before="57"/>
              <w:ind w:right="726" w:hanging="1"/>
              <w:rPr>
                <w:sz w:val="16"/>
              </w:rPr>
            </w:pPr>
            <w:r>
              <w:rPr>
                <w:sz w:val="16"/>
              </w:rPr>
              <w:t>informační zařízení do 8 m</w:t>
            </w:r>
            <w:r>
              <w:rPr>
                <w:sz w:val="16"/>
                <w:vertAlign w:val="superscript"/>
              </w:rPr>
              <w:t>2</w:t>
            </w:r>
            <w:r>
              <w:rPr>
                <w:sz w:val="16"/>
                <w:vertAlign w:val="baseline"/>
              </w:rPr>
              <w:t> informační plochy ochrana před povodněmi, erozí, hlukem, exhalacemi</w:t>
            </w:r>
          </w:p>
          <w:p>
            <w:pPr>
              <w:pStyle w:val="TableParagraph"/>
              <w:spacing w:line="184" w:lineRule="exact" w:before="2"/>
              <w:ind w:right="201"/>
              <w:rPr>
                <w:sz w:val="16"/>
              </w:rPr>
            </w:pPr>
            <w:r>
              <w:rPr>
                <w:sz w:val="16"/>
              </w:rPr>
              <w:t>integrované stavby a zařízení: bydlení správce, občanské vybavení, nerušící výroba, chovatelská a pěstitelská činnost</w:t>
            </w:r>
          </w:p>
        </w:tc>
        <w:tc>
          <w:tcPr>
            <w:tcW w:w="5035" w:type="dxa"/>
          </w:tcPr>
          <w:p>
            <w:pPr>
              <w:pStyle w:val="TableParagraph"/>
              <w:spacing w:before="53"/>
              <w:ind w:right="918"/>
              <w:rPr>
                <w:sz w:val="16"/>
              </w:rPr>
            </w:pPr>
            <w:r>
              <w:rPr>
                <w:sz w:val="16"/>
              </w:rPr>
              <w:t>slouží bezprostředně k zajištění hlavního, přípustného a podmíněně přípustného využití dané plochy</w:t>
            </w:r>
          </w:p>
          <w:p>
            <w:pPr>
              <w:pStyle w:val="TableParagraph"/>
              <w:spacing w:before="57"/>
              <w:ind w:right="223"/>
              <w:rPr>
                <w:sz w:val="16"/>
              </w:rPr>
            </w:pPr>
            <w:r>
              <w:rPr>
                <w:sz w:val="16"/>
              </w:rPr>
              <w:t>budou uplatněny podmínky prostorového uspořádání odpovídající podmínkám prostorového uspořádání dané plochy</w:t>
            </w:r>
          </w:p>
        </w:tc>
      </w:tr>
      <w:tr>
        <w:trPr>
          <w:trHeight w:val="297" w:hRule="atLeast"/>
        </w:trPr>
        <w:tc>
          <w:tcPr>
            <w:tcW w:w="4603" w:type="dxa"/>
            <w:shd w:val="clear" w:color="auto" w:fill="CCFFFF"/>
          </w:tcPr>
          <w:p>
            <w:pPr>
              <w:pStyle w:val="TableParagraph"/>
              <w:spacing w:line="168" w:lineRule="exact" w:before="109"/>
              <w:rPr>
                <w:b/>
                <w:sz w:val="16"/>
              </w:rPr>
            </w:pPr>
            <w:r>
              <w:rPr>
                <w:b/>
                <w:sz w:val="16"/>
              </w:rPr>
              <w:t>NEPŘÍPUSTNÉ VYUŽITÍ</w:t>
            </w:r>
          </w:p>
        </w:tc>
        <w:tc>
          <w:tcPr>
            <w:tcW w:w="5035" w:type="dxa"/>
            <w:shd w:val="clear" w:color="auto" w:fill="CCFFFF"/>
          </w:tcPr>
          <w:p>
            <w:pPr>
              <w:pStyle w:val="TableParagraph"/>
              <w:ind w:left="0"/>
              <w:rPr>
                <w:rFonts w:ascii="Times New Roman"/>
                <w:sz w:val="16"/>
              </w:rPr>
            </w:pPr>
          </w:p>
        </w:tc>
      </w:tr>
      <w:tr>
        <w:trPr>
          <w:trHeight w:val="779" w:hRule="atLeast"/>
        </w:trPr>
        <w:tc>
          <w:tcPr>
            <w:tcW w:w="4603" w:type="dxa"/>
          </w:tcPr>
          <w:p>
            <w:pPr>
              <w:pStyle w:val="TableParagraph"/>
              <w:spacing w:before="109"/>
              <w:rPr>
                <w:b/>
                <w:sz w:val="16"/>
              </w:rPr>
            </w:pPr>
            <w:r>
              <w:rPr>
                <w:b/>
                <w:sz w:val="16"/>
              </w:rPr>
              <w:t>zejména využití, u kterého existuje riziko, že:</w:t>
            </w:r>
          </w:p>
          <w:p>
            <w:pPr>
              <w:pStyle w:val="TableParagraph"/>
              <w:spacing w:line="240" w:lineRule="atLeast" w:before="2"/>
              <w:ind w:right="1438"/>
              <w:rPr>
                <w:sz w:val="16"/>
              </w:rPr>
            </w:pPr>
            <w:r>
              <w:rPr>
                <w:sz w:val="16"/>
              </w:rPr>
              <w:t>naruší kvalitu prostředí plochy sportu naruší celistvost a funkčnost plochy sportu</w:t>
            </w:r>
          </w:p>
        </w:tc>
        <w:tc>
          <w:tcPr>
            <w:tcW w:w="5035" w:type="dxa"/>
          </w:tcPr>
          <w:p>
            <w:pPr>
              <w:pStyle w:val="TableParagraph"/>
              <w:ind w:left="0"/>
              <w:rPr>
                <w:rFonts w:ascii="Times New Roman"/>
                <w:sz w:val="16"/>
              </w:rPr>
            </w:pPr>
          </w:p>
        </w:tc>
      </w:tr>
    </w:tbl>
    <w:p>
      <w:pPr>
        <w:spacing w:after="0"/>
        <w:rPr>
          <w:rFonts w:ascii="Times New Roman"/>
          <w:sz w:val="16"/>
        </w:rPr>
        <w:sectPr>
          <w:pgSz w:w="11900" w:h="16840"/>
          <w:pgMar w:header="561" w:footer="582" w:top="760" w:bottom="780" w:left="960" w:right="980"/>
        </w:sectPr>
      </w:pPr>
    </w:p>
    <w:p>
      <w:pPr>
        <w:pStyle w:val="BodyText"/>
        <w:ind w:left="0" w:firstLine="0"/>
        <w:jc w:val="left"/>
        <w:rPr>
          <w:b/>
          <w:sz w:val="20"/>
        </w:rPr>
      </w:pPr>
    </w:p>
    <w:p>
      <w:pPr>
        <w:pStyle w:val="BodyText"/>
        <w:spacing w:before="7"/>
        <w:ind w:left="0" w:firstLine="0"/>
        <w:jc w:val="left"/>
        <w:rPr>
          <w:b/>
          <w:sz w:val="11"/>
        </w:r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03"/>
        <w:gridCol w:w="5035"/>
      </w:tblGrid>
      <w:tr>
        <w:trPr>
          <w:trHeight w:val="311" w:hRule="atLeast"/>
        </w:trPr>
        <w:tc>
          <w:tcPr>
            <w:tcW w:w="4603" w:type="dxa"/>
            <w:shd w:val="clear" w:color="auto" w:fill="32CCCC"/>
          </w:tcPr>
          <w:p>
            <w:pPr>
              <w:pStyle w:val="TableParagraph"/>
              <w:spacing w:line="237" w:lineRule="exact" w:before="55"/>
              <w:rPr>
                <w:b/>
                <w:sz w:val="22"/>
              </w:rPr>
            </w:pPr>
            <w:r>
              <w:rPr>
                <w:b/>
                <w:sz w:val="22"/>
              </w:rPr>
              <w:t>PLOCHY REKREACE</w:t>
            </w:r>
          </w:p>
        </w:tc>
        <w:tc>
          <w:tcPr>
            <w:tcW w:w="5035" w:type="dxa"/>
            <w:shd w:val="clear" w:color="auto" w:fill="32CCCC"/>
          </w:tcPr>
          <w:p>
            <w:pPr>
              <w:pStyle w:val="TableParagraph"/>
              <w:spacing w:line="237" w:lineRule="exact" w:before="55"/>
              <w:rPr>
                <w:b/>
                <w:sz w:val="22"/>
              </w:rPr>
            </w:pPr>
            <w:r>
              <w:rPr>
                <w:b/>
                <w:w w:val="100"/>
                <w:sz w:val="22"/>
              </w:rPr>
              <w:t>R</w:t>
            </w:r>
          </w:p>
        </w:tc>
      </w:tr>
      <w:tr>
        <w:trPr>
          <w:trHeight w:val="239" w:hRule="atLeast"/>
        </w:trPr>
        <w:tc>
          <w:tcPr>
            <w:tcW w:w="4603" w:type="dxa"/>
            <w:shd w:val="clear" w:color="auto" w:fill="CCFFFF"/>
          </w:tcPr>
          <w:p>
            <w:pPr>
              <w:pStyle w:val="TableParagraph"/>
              <w:spacing w:line="166" w:lineRule="exact" w:before="53"/>
              <w:rPr>
                <w:sz w:val="16"/>
              </w:rPr>
            </w:pPr>
            <w:r>
              <w:rPr>
                <w:sz w:val="16"/>
              </w:rPr>
              <w:t>pozemky pro stavby, zařízení, úpravy, kultury, činnosti</w:t>
            </w:r>
          </w:p>
        </w:tc>
        <w:tc>
          <w:tcPr>
            <w:tcW w:w="5035" w:type="dxa"/>
            <w:shd w:val="clear" w:color="auto" w:fill="CCFFFF"/>
          </w:tcPr>
          <w:p>
            <w:pPr>
              <w:pStyle w:val="TableParagraph"/>
              <w:ind w:left="0"/>
              <w:rPr>
                <w:rFonts w:ascii="Times New Roman"/>
                <w:sz w:val="16"/>
              </w:rPr>
            </w:pPr>
          </w:p>
        </w:tc>
      </w:tr>
      <w:tr>
        <w:trPr>
          <w:trHeight w:val="241" w:hRule="atLeast"/>
        </w:trPr>
        <w:tc>
          <w:tcPr>
            <w:tcW w:w="4603" w:type="dxa"/>
            <w:shd w:val="clear" w:color="auto" w:fill="CCFFFF"/>
          </w:tcPr>
          <w:p>
            <w:pPr>
              <w:pStyle w:val="TableParagraph"/>
              <w:spacing w:line="168" w:lineRule="exact" w:before="53"/>
              <w:rPr>
                <w:b/>
                <w:sz w:val="16"/>
              </w:rPr>
            </w:pPr>
            <w:r>
              <w:rPr>
                <w:b/>
                <w:sz w:val="16"/>
              </w:rPr>
              <w:t>HLAVNÍ VYUŽITÍ</w:t>
            </w:r>
          </w:p>
        </w:tc>
        <w:tc>
          <w:tcPr>
            <w:tcW w:w="5035" w:type="dxa"/>
            <w:shd w:val="clear" w:color="auto" w:fill="CCFFFF"/>
          </w:tcPr>
          <w:p>
            <w:pPr>
              <w:pStyle w:val="TableParagraph"/>
              <w:ind w:left="0"/>
              <w:rPr>
                <w:rFonts w:ascii="Times New Roman"/>
                <w:sz w:val="16"/>
              </w:rPr>
            </w:pPr>
          </w:p>
        </w:tc>
      </w:tr>
      <w:tr>
        <w:trPr>
          <w:trHeight w:val="426" w:hRule="atLeast"/>
        </w:trPr>
        <w:tc>
          <w:tcPr>
            <w:tcW w:w="4603" w:type="dxa"/>
          </w:tcPr>
          <w:p>
            <w:pPr>
              <w:pStyle w:val="TableParagraph"/>
              <w:spacing w:line="180" w:lineRule="atLeast" w:before="53"/>
              <w:ind w:right="59"/>
              <w:rPr>
                <w:sz w:val="16"/>
              </w:rPr>
            </w:pPr>
            <w:r>
              <w:rPr>
                <w:b/>
                <w:sz w:val="16"/>
              </w:rPr>
              <w:t>zahrádkářské a chatové osady </w:t>
            </w:r>
            <w:r>
              <w:rPr>
                <w:sz w:val="16"/>
              </w:rPr>
              <w:t>- včetně staveb pro rodinnou rekreaci</w:t>
            </w:r>
          </w:p>
        </w:tc>
        <w:tc>
          <w:tcPr>
            <w:tcW w:w="5035" w:type="dxa"/>
          </w:tcPr>
          <w:p>
            <w:pPr>
              <w:pStyle w:val="TableParagraph"/>
              <w:ind w:left="0"/>
              <w:rPr>
                <w:rFonts w:ascii="Times New Roman"/>
                <w:sz w:val="16"/>
              </w:rPr>
            </w:pPr>
          </w:p>
        </w:tc>
      </w:tr>
      <w:tr>
        <w:trPr>
          <w:trHeight w:val="241" w:hRule="atLeast"/>
        </w:trPr>
        <w:tc>
          <w:tcPr>
            <w:tcW w:w="4603" w:type="dxa"/>
            <w:shd w:val="clear" w:color="auto" w:fill="CCFFFF"/>
          </w:tcPr>
          <w:p>
            <w:pPr>
              <w:pStyle w:val="TableParagraph"/>
              <w:spacing w:line="168" w:lineRule="exact" w:before="53"/>
              <w:rPr>
                <w:b/>
                <w:sz w:val="16"/>
              </w:rPr>
            </w:pPr>
            <w:r>
              <w:rPr>
                <w:b/>
                <w:sz w:val="16"/>
              </w:rPr>
              <w:t>PŘÍPUSTNÉ VYUŽITÍ</w:t>
            </w:r>
          </w:p>
        </w:tc>
        <w:tc>
          <w:tcPr>
            <w:tcW w:w="5035" w:type="dxa"/>
            <w:shd w:val="clear" w:color="auto" w:fill="CCFFFF"/>
          </w:tcPr>
          <w:p>
            <w:pPr>
              <w:pStyle w:val="TableParagraph"/>
              <w:ind w:left="0"/>
              <w:rPr>
                <w:rFonts w:ascii="Times New Roman"/>
                <w:sz w:val="16"/>
              </w:rPr>
            </w:pPr>
          </w:p>
        </w:tc>
      </w:tr>
      <w:tr>
        <w:trPr>
          <w:trHeight w:val="424" w:hRule="atLeast"/>
        </w:trPr>
        <w:tc>
          <w:tcPr>
            <w:tcW w:w="4603" w:type="dxa"/>
          </w:tcPr>
          <w:p>
            <w:pPr>
              <w:pStyle w:val="TableParagraph"/>
              <w:spacing w:line="180" w:lineRule="atLeast" w:before="51"/>
              <w:ind w:right="264"/>
              <w:rPr>
                <w:sz w:val="16"/>
              </w:rPr>
            </w:pPr>
            <w:r>
              <w:rPr>
                <w:b/>
                <w:sz w:val="16"/>
              </w:rPr>
              <w:t>intenzivně upravená rekreační zeleň </w:t>
            </w:r>
            <w:r>
              <w:rPr>
                <w:sz w:val="16"/>
              </w:rPr>
              <w:t>- zejména pobytové louky, přírodní hřiště, tábořiště a koupaliště</w:t>
            </w:r>
          </w:p>
        </w:tc>
        <w:tc>
          <w:tcPr>
            <w:tcW w:w="5035" w:type="dxa"/>
          </w:tcPr>
          <w:p>
            <w:pPr>
              <w:pStyle w:val="TableParagraph"/>
              <w:ind w:left="0"/>
              <w:rPr>
                <w:rFonts w:ascii="Times New Roman"/>
                <w:sz w:val="16"/>
              </w:rPr>
            </w:pPr>
          </w:p>
        </w:tc>
      </w:tr>
      <w:tr>
        <w:trPr>
          <w:trHeight w:val="1389" w:hRule="atLeast"/>
        </w:trPr>
        <w:tc>
          <w:tcPr>
            <w:tcW w:w="4603" w:type="dxa"/>
            <w:vMerge w:val="restart"/>
            <w:shd w:val="clear" w:color="auto" w:fill="CCFFFF"/>
          </w:tcPr>
          <w:p>
            <w:pPr>
              <w:pStyle w:val="TableParagraph"/>
              <w:spacing w:before="51"/>
              <w:rPr>
                <w:b/>
                <w:sz w:val="16"/>
              </w:rPr>
            </w:pPr>
            <w:r>
              <w:rPr>
                <w:b/>
                <w:sz w:val="16"/>
              </w:rPr>
              <w:t>PODMÍNĚNĚ PŘÍPUSTNÉ VYUŽITÍ</w:t>
            </w:r>
          </w:p>
        </w:tc>
        <w:tc>
          <w:tcPr>
            <w:tcW w:w="5035" w:type="dxa"/>
            <w:shd w:val="clear" w:color="auto" w:fill="CCFFFF"/>
          </w:tcPr>
          <w:p>
            <w:pPr>
              <w:pStyle w:val="TableParagraph"/>
              <w:spacing w:line="244" w:lineRule="auto" w:before="51"/>
              <w:ind w:right="260"/>
              <w:rPr>
                <w:sz w:val="16"/>
              </w:rPr>
            </w:pPr>
            <w:r>
              <w:rPr>
                <w:b/>
                <w:sz w:val="16"/>
              </w:rPr>
              <w:t>obecné podmínky: </w:t>
            </w:r>
            <w:r>
              <w:rPr>
                <w:sz w:val="16"/>
              </w:rPr>
              <w:t>prokázat přiměřenost jeho dopadů ve vztahu k hlavnímu a přípustnému využití z hlediska:</w:t>
            </w:r>
          </w:p>
          <w:p>
            <w:pPr>
              <w:pStyle w:val="TableParagraph"/>
              <w:spacing w:before="54"/>
              <w:rPr>
                <w:sz w:val="16"/>
              </w:rPr>
            </w:pPr>
            <w:r>
              <w:rPr>
                <w:sz w:val="16"/>
              </w:rPr>
              <w:t>významu v širším území</w:t>
            </w:r>
          </w:p>
          <w:p>
            <w:pPr>
              <w:pStyle w:val="TableParagraph"/>
              <w:spacing w:line="312" w:lineRule="auto" w:before="56"/>
              <w:ind w:right="1496"/>
              <w:rPr>
                <w:sz w:val="16"/>
              </w:rPr>
            </w:pPr>
            <w:r>
              <w:rPr>
                <w:sz w:val="16"/>
              </w:rPr>
              <w:t>narušení kvality prostředí resp. pohody bydlení charakteru a kapacity napojení na infrastrukturu</w:t>
            </w:r>
          </w:p>
          <w:p>
            <w:pPr>
              <w:pStyle w:val="TableParagraph"/>
              <w:spacing w:line="166" w:lineRule="exact" w:before="4"/>
              <w:rPr>
                <w:sz w:val="16"/>
              </w:rPr>
            </w:pPr>
            <w:r>
              <w:rPr>
                <w:sz w:val="16"/>
              </w:rPr>
              <w:t>vyvolaných omezení ve smyslu hygienických a dalších předpisů</w:t>
            </w:r>
          </w:p>
        </w:tc>
      </w:tr>
      <w:tr>
        <w:trPr>
          <w:trHeight w:val="241" w:hRule="atLeast"/>
        </w:trPr>
        <w:tc>
          <w:tcPr>
            <w:tcW w:w="4603" w:type="dxa"/>
            <w:vMerge/>
            <w:tcBorders>
              <w:top w:val="nil"/>
            </w:tcBorders>
            <w:shd w:val="clear" w:color="auto" w:fill="CCFFFF"/>
          </w:tcPr>
          <w:p>
            <w:pPr>
              <w:rPr>
                <w:sz w:val="2"/>
                <w:szCs w:val="2"/>
              </w:rPr>
            </w:pPr>
          </w:p>
        </w:tc>
        <w:tc>
          <w:tcPr>
            <w:tcW w:w="5035" w:type="dxa"/>
            <w:shd w:val="clear" w:color="auto" w:fill="CCFFFF"/>
          </w:tcPr>
          <w:p>
            <w:pPr>
              <w:pStyle w:val="TableParagraph"/>
              <w:spacing w:line="171" w:lineRule="exact" w:before="51"/>
              <w:rPr>
                <w:b/>
                <w:sz w:val="16"/>
              </w:rPr>
            </w:pPr>
            <w:r>
              <w:rPr>
                <w:b/>
                <w:sz w:val="16"/>
              </w:rPr>
              <w:t>specifické podmínky:</w:t>
            </w:r>
          </w:p>
        </w:tc>
      </w:tr>
      <w:tr>
        <w:trPr>
          <w:trHeight w:val="479" w:hRule="atLeast"/>
        </w:trPr>
        <w:tc>
          <w:tcPr>
            <w:tcW w:w="4603" w:type="dxa"/>
          </w:tcPr>
          <w:p>
            <w:pPr>
              <w:pStyle w:val="TableParagraph"/>
              <w:spacing w:line="180" w:lineRule="atLeast" w:before="106"/>
              <w:ind w:right="184"/>
              <w:rPr>
                <w:sz w:val="16"/>
              </w:rPr>
            </w:pPr>
            <w:r>
              <w:rPr>
                <w:b/>
                <w:sz w:val="16"/>
              </w:rPr>
              <w:t>sportovní a intenzivní rekreační aktivity provozované na otevřených plochách </w:t>
            </w:r>
            <w:r>
              <w:rPr>
                <w:sz w:val="16"/>
              </w:rPr>
              <w:t>- zejména stavebně upravená hřiště</w:t>
            </w:r>
          </w:p>
        </w:tc>
        <w:tc>
          <w:tcPr>
            <w:tcW w:w="5035" w:type="dxa"/>
          </w:tcPr>
          <w:p>
            <w:pPr>
              <w:pStyle w:val="TableParagraph"/>
              <w:spacing w:before="109"/>
              <w:rPr>
                <w:sz w:val="16"/>
              </w:rPr>
            </w:pPr>
            <w:r>
              <w:rPr>
                <w:sz w:val="16"/>
              </w:rPr>
              <w:t>slouží bezprostředně k zajištění hlavního využití dané plochy</w:t>
            </w:r>
          </w:p>
        </w:tc>
      </w:tr>
      <w:tr>
        <w:trPr>
          <w:trHeight w:val="481" w:hRule="atLeast"/>
        </w:trPr>
        <w:tc>
          <w:tcPr>
            <w:tcW w:w="4603" w:type="dxa"/>
          </w:tcPr>
          <w:p>
            <w:pPr>
              <w:pStyle w:val="TableParagraph"/>
              <w:spacing w:line="180" w:lineRule="atLeast" w:before="106"/>
              <w:rPr>
                <w:b/>
                <w:sz w:val="16"/>
              </w:rPr>
            </w:pPr>
            <w:r>
              <w:rPr>
                <w:b/>
                <w:sz w:val="16"/>
              </w:rPr>
              <w:t>liniové stavby technické infrastruktury nadřazených systémů</w:t>
            </w:r>
          </w:p>
        </w:tc>
        <w:tc>
          <w:tcPr>
            <w:tcW w:w="5035" w:type="dxa"/>
          </w:tcPr>
          <w:p>
            <w:pPr>
              <w:pStyle w:val="TableParagraph"/>
              <w:spacing w:before="109"/>
              <w:rPr>
                <w:sz w:val="16"/>
              </w:rPr>
            </w:pPr>
            <w:r>
              <w:rPr>
                <w:sz w:val="16"/>
              </w:rPr>
              <w:t>souvisí bezprostředně s provozem města</w:t>
            </w:r>
          </w:p>
        </w:tc>
      </w:tr>
      <w:tr>
        <w:trPr>
          <w:trHeight w:val="481" w:hRule="atLeast"/>
        </w:trPr>
        <w:tc>
          <w:tcPr>
            <w:tcW w:w="4603" w:type="dxa"/>
          </w:tcPr>
          <w:p>
            <w:pPr>
              <w:pStyle w:val="TableParagraph"/>
              <w:spacing w:line="180" w:lineRule="atLeast" w:before="106"/>
              <w:ind w:right="576"/>
              <w:rPr>
                <w:b/>
                <w:sz w:val="16"/>
              </w:rPr>
            </w:pPr>
            <w:r>
              <w:rPr>
                <w:b/>
                <w:sz w:val="16"/>
              </w:rPr>
              <w:t>plošně nenáročná zařízení technické infrastruktury nadřazených systémů</w:t>
            </w:r>
          </w:p>
        </w:tc>
        <w:tc>
          <w:tcPr>
            <w:tcW w:w="5035" w:type="dxa"/>
          </w:tcPr>
          <w:p>
            <w:pPr>
              <w:pStyle w:val="TableParagraph"/>
              <w:spacing w:before="53"/>
              <w:rPr>
                <w:sz w:val="16"/>
              </w:rPr>
            </w:pPr>
            <w:r>
              <w:rPr>
                <w:sz w:val="16"/>
              </w:rPr>
              <w:t>plocha nepřesáhne 300 m</w:t>
            </w:r>
            <w:r>
              <w:rPr>
                <w:sz w:val="16"/>
                <w:vertAlign w:val="superscript"/>
              </w:rPr>
              <w:t>2</w:t>
            </w:r>
          </w:p>
          <w:p>
            <w:pPr>
              <w:pStyle w:val="TableParagraph"/>
              <w:spacing w:line="168" w:lineRule="exact" w:before="56"/>
              <w:rPr>
                <w:sz w:val="16"/>
              </w:rPr>
            </w:pPr>
            <w:r>
              <w:rPr>
                <w:sz w:val="16"/>
              </w:rPr>
              <w:t>souvisí bezprostředně s provozem města</w:t>
            </w:r>
          </w:p>
        </w:tc>
      </w:tr>
      <w:tr>
        <w:trPr>
          <w:trHeight w:val="5101" w:hRule="atLeast"/>
        </w:trPr>
        <w:tc>
          <w:tcPr>
            <w:tcW w:w="4603" w:type="dxa"/>
          </w:tcPr>
          <w:p>
            <w:pPr>
              <w:pStyle w:val="TableParagraph"/>
              <w:spacing w:before="106"/>
              <w:rPr>
                <w:b/>
                <w:sz w:val="16"/>
              </w:rPr>
            </w:pPr>
            <w:r>
              <w:rPr>
                <w:b/>
                <w:sz w:val="16"/>
              </w:rPr>
              <w:t>základní vybavenost území</w:t>
            </w:r>
          </w:p>
          <w:p>
            <w:pPr>
              <w:pStyle w:val="TableParagraph"/>
              <w:spacing w:before="61"/>
              <w:ind w:right="450"/>
              <w:rPr>
                <w:sz w:val="16"/>
              </w:rPr>
            </w:pPr>
            <w:r>
              <w:rPr>
                <w:sz w:val="16"/>
              </w:rPr>
              <w:t>terénní úpravy kromě těžebních prací a skládek odpadů, opěrné zdi, propustky a přemostění, oplocení</w:t>
            </w:r>
          </w:p>
          <w:p>
            <w:pPr>
              <w:pStyle w:val="TableParagraph"/>
              <w:spacing w:before="57"/>
              <w:ind w:right="189" w:hanging="1"/>
              <w:rPr>
                <w:sz w:val="16"/>
              </w:rPr>
            </w:pPr>
            <w:r>
              <w:rPr>
                <w:sz w:val="16"/>
              </w:rPr>
              <w:t>vodní toky a vodní plochy do 300 m</w:t>
            </w:r>
            <w:r>
              <w:rPr>
                <w:sz w:val="16"/>
                <w:vertAlign w:val="superscript"/>
              </w:rPr>
              <w:t>2</w:t>
            </w:r>
            <w:r>
              <w:rPr>
                <w:sz w:val="16"/>
                <w:vertAlign w:val="baseline"/>
              </w:rPr>
              <w:t>, parkové, sadovnické a zahradnické úpravy, pobytové louky, plošné a liniové prvky ochranné a doprovodné zeleně vč. biokoridorů ÚSES a IP</w:t>
            </w:r>
          </w:p>
          <w:p>
            <w:pPr>
              <w:pStyle w:val="TableParagraph"/>
              <w:spacing w:before="58"/>
              <w:ind w:right="139" w:hanging="1"/>
              <w:rPr>
                <w:sz w:val="16"/>
              </w:rPr>
            </w:pPr>
            <w:r>
              <w:rPr>
                <w:sz w:val="16"/>
              </w:rPr>
              <w:t>veřejná prostranství - místní komunikace zpřístupňující objekty a pozemky v ploše, komunikace, pobytové prostory s vyloučením motorové dopravy, zastávky VDO, parkování</w:t>
            </w:r>
            <w:r>
              <w:rPr>
                <w:spacing w:val="-22"/>
                <w:sz w:val="16"/>
              </w:rPr>
              <w:t> </w:t>
            </w:r>
            <w:r>
              <w:rPr>
                <w:sz w:val="16"/>
              </w:rPr>
              <w:t>OA</w:t>
            </w:r>
          </w:p>
          <w:p>
            <w:pPr>
              <w:pStyle w:val="TableParagraph"/>
              <w:spacing w:before="55"/>
              <w:ind w:right="156"/>
              <w:rPr>
                <w:sz w:val="16"/>
              </w:rPr>
            </w:pPr>
            <w:r>
              <w:rPr>
                <w:sz w:val="16"/>
              </w:rPr>
              <w:t>technická infrastruktura - liniové stavby a plošně nenáročná zařízení vodovodů, kanalizace, produktovodů, energetických zařízení vč. obnovitelných zdrojů, elektronických</w:t>
            </w:r>
            <w:r>
              <w:rPr>
                <w:spacing w:val="-22"/>
                <w:sz w:val="16"/>
              </w:rPr>
              <w:t> </w:t>
            </w:r>
            <w:r>
              <w:rPr>
                <w:sz w:val="16"/>
              </w:rPr>
              <w:t>komunikací</w:t>
            </w:r>
          </w:p>
          <w:p>
            <w:pPr>
              <w:pStyle w:val="TableParagraph"/>
              <w:spacing w:before="57"/>
              <w:ind w:right="361"/>
              <w:rPr>
                <w:sz w:val="16"/>
              </w:rPr>
            </w:pPr>
            <w:r>
              <w:rPr>
                <w:sz w:val="16"/>
              </w:rPr>
              <w:t>správa a údržba, technologická zařízení, přístřešky pro skladování a manipulaci nesloužící pro hořlavé, chemické látky, které mohou způsobit znečištění životního prostředí</w:t>
            </w:r>
          </w:p>
          <w:p>
            <w:pPr>
              <w:pStyle w:val="TableParagraph"/>
              <w:spacing w:before="58"/>
              <w:ind w:right="610"/>
              <w:rPr>
                <w:sz w:val="16"/>
              </w:rPr>
            </w:pPr>
            <w:r>
              <w:rPr>
                <w:sz w:val="16"/>
              </w:rPr>
              <w:t>rekreace - hřiště, mobiliář, přístřešky pro obsluhu, občerstvení a hygienu, stavby drobné architektury bez pobytových místností</w:t>
            </w:r>
          </w:p>
          <w:p>
            <w:pPr>
              <w:pStyle w:val="TableParagraph"/>
              <w:spacing w:before="58"/>
              <w:ind w:right="140"/>
              <w:rPr>
                <w:sz w:val="16"/>
              </w:rPr>
            </w:pPr>
            <w:r>
              <w:rPr>
                <w:sz w:val="16"/>
              </w:rPr>
              <w:t>pěstitelská a chovatelská činnost - skleníky, kotce, přístřešky pro hospodaření</w:t>
            </w:r>
          </w:p>
          <w:p>
            <w:pPr>
              <w:pStyle w:val="TableParagraph"/>
              <w:spacing w:line="312" w:lineRule="auto" w:before="57"/>
              <w:ind w:right="726" w:hanging="1"/>
              <w:rPr>
                <w:sz w:val="16"/>
              </w:rPr>
            </w:pPr>
            <w:r>
              <w:rPr>
                <w:sz w:val="16"/>
              </w:rPr>
              <w:t>informační zařízení do 8 m</w:t>
            </w:r>
            <w:r>
              <w:rPr>
                <w:sz w:val="16"/>
                <w:vertAlign w:val="superscript"/>
              </w:rPr>
              <w:t>2</w:t>
            </w:r>
            <w:r>
              <w:rPr>
                <w:sz w:val="16"/>
                <w:vertAlign w:val="baseline"/>
              </w:rPr>
              <w:t> informační plochy ochrana před povodněmi, erozí, hlukem, exhalacemi</w:t>
            </w:r>
          </w:p>
          <w:p>
            <w:pPr>
              <w:pStyle w:val="TableParagraph"/>
              <w:spacing w:line="180" w:lineRule="atLeast" w:before="4"/>
              <w:ind w:right="201"/>
              <w:rPr>
                <w:sz w:val="16"/>
              </w:rPr>
            </w:pPr>
            <w:r>
              <w:rPr>
                <w:sz w:val="16"/>
              </w:rPr>
              <w:t>integrované stavby a zařízení: bydlení správce, občanské vybavení, nerušící výroba, chovatelská a pěstitelská činnost</w:t>
            </w:r>
          </w:p>
        </w:tc>
        <w:tc>
          <w:tcPr>
            <w:tcW w:w="5035" w:type="dxa"/>
          </w:tcPr>
          <w:p>
            <w:pPr>
              <w:pStyle w:val="TableParagraph"/>
              <w:spacing w:before="53"/>
              <w:ind w:right="918"/>
              <w:rPr>
                <w:sz w:val="16"/>
              </w:rPr>
            </w:pPr>
            <w:r>
              <w:rPr>
                <w:sz w:val="16"/>
              </w:rPr>
              <w:t>slouží bezprostředně k zajištění hlavního, přípustného a podmíněně přípustného využití dané plochy</w:t>
            </w:r>
          </w:p>
          <w:p>
            <w:pPr>
              <w:pStyle w:val="TableParagraph"/>
              <w:spacing w:before="57"/>
              <w:ind w:right="223"/>
              <w:rPr>
                <w:sz w:val="16"/>
              </w:rPr>
            </w:pPr>
            <w:r>
              <w:rPr>
                <w:sz w:val="16"/>
              </w:rPr>
              <w:t>budou uplatněny podmínky prostorového uspořádání odpovídající podmínkám prostorového uspořádání dané plochy</w:t>
            </w:r>
          </w:p>
        </w:tc>
      </w:tr>
      <w:tr>
        <w:trPr>
          <w:trHeight w:val="297" w:hRule="atLeast"/>
        </w:trPr>
        <w:tc>
          <w:tcPr>
            <w:tcW w:w="4603" w:type="dxa"/>
            <w:shd w:val="clear" w:color="auto" w:fill="CCFFFF"/>
          </w:tcPr>
          <w:p>
            <w:pPr>
              <w:pStyle w:val="TableParagraph"/>
              <w:spacing w:line="171" w:lineRule="exact" w:before="106"/>
              <w:rPr>
                <w:b/>
                <w:sz w:val="16"/>
              </w:rPr>
            </w:pPr>
            <w:r>
              <w:rPr>
                <w:b/>
                <w:sz w:val="16"/>
              </w:rPr>
              <w:t>NEPŘÍPUSTNÉ VYUŽITÍ</w:t>
            </w:r>
          </w:p>
        </w:tc>
        <w:tc>
          <w:tcPr>
            <w:tcW w:w="5035" w:type="dxa"/>
            <w:shd w:val="clear" w:color="auto" w:fill="CCFFFF"/>
          </w:tcPr>
          <w:p>
            <w:pPr>
              <w:pStyle w:val="TableParagraph"/>
              <w:ind w:left="0"/>
              <w:rPr>
                <w:rFonts w:ascii="Times New Roman"/>
                <w:sz w:val="16"/>
              </w:rPr>
            </w:pPr>
          </w:p>
        </w:tc>
      </w:tr>
      <w:tr>
        <w:trPr>
          <w:trHeight w:val="537" w:hRule="atLeast"/>
        </w:trPr>
        <w:tc>
          <w:tcPr>
            <w:tcW w:w="4603" w:type="dxa"/>
          </w:tcPr>
          <w:p>
            <w:pPr>
              <w:pStyle w:val="TableParagraph"/>
              <w:spacing w:before="106"/>
              <w:rPr>
                <w:b/>
                <w:sz w:val="16"/>
              </w:rPr>
            </w:pPr>
            <w:r>
              <w:rPr>
                <w:b/>
                <w:sz w:val="16"/>
              </w:rPr>
              <w:t>zejména využití, u kterého existuje riziko, že:</w:t>
            </w:r>
          </w:p>
          <w:p>
            <w:pPr>
              <w:pStyle w:val="TableParagraph"/>
              <w:spacing w:line="166" w:lineRule="exact" w:before="61"/>
              <w:rPr>
                <w:sz w:val="16"/>
              </w:rPr>
            </w:pPr>
            <w:r>
              <w:rPr>
                <w:sz w:val="16"/>
              </w:rPr>
              <w:t>naruší kvalitu prostředí plochy rekreace</w:t>
            </w:r>
          </w:p>
        </w:tc>
        <w:tc>
          <w:tcPr>
            <w:tcW w:w="5035" w:type="dxa"/>
          </w:tcPr>
          <w:p>
            <w:pPr>
              <w:pStyle w:val="TableParagraph"/>
              <w:ind w:left="0"/>
              <w:rPr>
                <w:rFonts w:ascii="Times New Roman"/>
                <w:sz w:val="16"/>
              </w:rPr>
            </w:pPr>
          </w:p>
        </w:tc>
      </w:tr>
    </w:tbl>
    <w:p>
      <w:pPr>
        <w:spacing w:after="0"/>
        <w:rPr>
          <w:rFonts w:ascii="Times New Roman"/>
          <w:sz w:val="16"/>
        </w:rPr>
        <w:sectPr>
          <w:pgSz w:w="11900" w:h="16840"/>
          <w:pgMar w:header="561" w:footer="582" w:top="760" w:bottom="780" w:left="960" w:right="980"/>
        </w:sectPr>
      </w:pPr>
    </w:p>
    <w:p>
      <w:pPr>
        <w:pStyle w:val="BodyText"/>
        <w:ind w:left="0" w:firstLine="0"/>
        <w:jc w:val="left"/>
        <w:rPr>
          <w:b/>
          <w:sz w:val="20"/>
        </w:rPr>
      </w:pPr>
    </w:p>
    <w:p>
      <w:pPr>
        <w:pStyle w:val="BodyText"/>
        <w:spacing w:before="7"/>
        <w:ind w:left="0" w:firstLine="0"/>
        <w:jc w:val="left"/>
        <w:rPr>
          <w:b/>
          <w:sz w:val="11"/>
        </w:r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03"/>
        <w:gridCol w:w="5035"/>
      </w:tblGrid>
      <w:tr>
        <w:trPr>
          <w:trHeight w:val="311" w:hRule="atLeast"/>
        </w:trPr>
        <w:tc>
          <w:tcPr>
            <w:tcW w:w="4603" w:type="dxa"/>
            <w:shd w:val="clear" w:color="auto" w:fill="32CCCC"/>
          </w:tcPr>
          <w:p>
            <w:pPr>
              <w:pStyle w:val="TableParagraph"/>
              <w:spacing w:line="237" w:lineRule="exact" w:before="55"/>
              <w:rPr>
                <w:b/>
                <w:sz w:val="22"/>
              </w:rPr>
            </w:pPr>
            <w:r>
              <w:rPr>
                <w:b/>
                <w:sz w:val="22"/>
              </w:rPr>
              <w:t>PLOCHY VÝROBY A SKLADOVÁNÍ</w:t>
            </w:r>
          </w:p>
        </w:tc>
        <w:tc>
          <w:tcPr>
            <w:tcW w:w="5035" w:type="dxa"/>
            <w:shd w:val="clear" w:color="auto" w:fill="32CCCC"/>
          </w:tcPr>
          <w:p>
            <w:pPr>
              <w:pStyle w:val="TableParagraph"/>
              <w:spacing w:line="237" w:lineRule="exact" w:before="55"/>
              <w:rPr>
                <w:b/>
                <w:sz w:val="22"/>
              </w:rPr>
            </w:pPr>
            <w:r>
              <w:rPr>
                <w:b/>
                <w:w w:val="100"/>
                <w:sz w:val="22"/>
              </w:rPr>
              <w:t>E</w:t>
            </w:r>
          </w:p>
        </w:tc>
      </w:tr>
      <w:tr>
        <w:trPr>
          <w:trHeight w:val="239" w:hRule="atLeast"/>
        </w:trPr>
        <w:tc>
          <w:tcPr>
            <w:tcW w:w="4603" w:type="dxa"/>
            <w:shd w:val="clear" w:color="auto" w:fill="CCFFFF"/>
          </w:tcPr>
          <w:p>
            <w:pPr>
              <w:pStyle w:val="TableParagraph"/>
              <w:spacing w:line="166" w:lineRule="exact" w:before="53"/>
              <w:rPr>
                <w:sz w:val="16"/>
              </w:rPr>
            </w:pPr>
            <w:r>
              <w:rPr>
                <w:sz w:val="16"/>
              </w:rPr>
              <w:t>pozemky pro stavby, zařízení, úpravy, kultury, činnosti</w:t>
            </w:r>
          </w:p>
        </w:tc>
        <w:tc>
          <w:tcPr>
            <w:tcW w:w="5035" w:type="dxa"/>
            <w:shd w:val="clear" w:color="auto" w:fill="CCFFFF"/>
          </w:tcPr>
          <w:p>
            <w:pPr>
              <w:pStyle w:val="TableParagraph"/>
              <w:ind w:left="0"/>
              <w:rPr>
                <w:rFonts w:ascii="Times New Roman"/>
                <w:sz w:val="16"/>
              </w:rPr>
            </w:pPr>
          </w:p>
        </w:tc>
      </w:tr>
      <w:tr>
        <w:trPr>
          <w:trHeight w:val="241" w:hRule="atLeast"/>
        </w:trPr>
        <w:tc>
          <w:tcPr>
            <w:tcW w:w="4603" w:type="dxa"/>
            <w:shd w:val="clear" w:color="auto" w:fill="CCFFFF"/>
          </w:tcPr>
          <w:p>
            <w:pPr>
              <w:pStyle w:val="TableParagraph"/>
              <w:spacing w:line="168" w:lineRule="exact" w:before="53"/>
              <w:rPr>
                <w:b/>
                <w:sz w:val="16"/>
              </w:rPr>
            </w:pPr>
            <w:r>
              <w:rPr>
                <w:b/>
                <w:sz w:val="16"/>
              </w:rPr>
              <w:t>HLAVNÍ VYUŽITÍ</w:t>
            </w:r>
          </w:p>
        </w:tc>
        <w:tc>
          <w:tcPr>
            <w:tcW w:w="5035" w:type="dxa"/>
            <w:shd w:val="clear" w:color="auto" w:fill="CCFFFF"/>
          </w:tcPr>
          <w:p>
            <w:pPr>
              <w:pStyle w:val="TableParagraph"/>
              <w:ind w:left="0"/>
              <w:rPr>
                <w:rFonts w:ascii="Times New Roman"/>
                <w:sz w:val="16"/>
              </w:rPr>
            </w:pPr>
          </w:p>
        </w:tc>
      </w:tr>
      <w:tr>
        <w:trPr>
          <w:trHeight w:val="793" w:hRule="atLeast"/>
        </w:trPr>
        <w:tc>
          <w:tcPr>
            <w:tcW w:w="4603" w:type="dxa"/>
          </w:tcPr>
          <w:p>
            <w:pPr>
              <w:pStyle w:val="TableParagraph"/>
              <w:spacing w:before="51"/>
              <w:ind w:left="155" w:right="122"/>
              <w:rPr>
                <w:sz w:val="16"/>
              </w:rPr>
            </w:pPr>
            <w:r>
              <w:rPr>
                <w:b/>
                <w:sz w:val="16"/>
              </w:rPr>
              <w:t>výroba </w:t>
            </w:r>
            <w:r>
              <w:rPr>
                <w:sz w:val="16"/>
              </w:rPr>
              <w:t>- zejména průmyslová a stavební výroba, výroba energie, sklady, překladiště, opravny, zemědělské a lesnické služby, zahradnictví, technické služby města, komerční</w:t>
            </w:r>
          </w:p>
          <w:p>
            <w:pPr>
              <w:pStyle w:val="TableParagraph"/>
              <w:spacing w:line="168" w:lineRule="exact" w:before="2"/>
              <w:ind w:left="155"/>
              <w:rPr>
                <w:sz w:val="16"/>
              </w:rPr>
            </w:pPr>
            <w:r>
              <w:rPr>
                <w:sz w:val="16"/>
              </w:rPr>
              <w:t>administrativa</w:t>
            </w:r>
          </w:p>
        </w:tc>
        <w:tc>
          <w:tcPr>
            <w:tcW w:w="5035" w:type="dxa"/>
          </w:tcPr>
          <w:p>
            <w:pPr>
              <w:pStyle w:val="TableParagraph"/>
              <w:ind w:left="0"/>
              <w:rPr>
                <w:rFonts w:ascii="Times New Roman"/>
                <w:sz w:val="16"/>
              </w:rPr>
            </w:pPr>
          </w:p>
        </w:tc>
      </w:tr>
      <w:tr>
        <w:trPr>
          <w:trHeight w:val="239" w:hRule="atLeast"/>
        </w:trPr>
        <w:tc>
          <w:tcPr>
            <w:tcW w:w="4603" w:type="dxa"/>
            <w:shd w:val="clear" w:color="auto" w:fill="CCFFFF"/>
          </w:tcPr>
          <w:p>
            <w:pPr>
              <w:pStyle w:val="TableParagraph"/>
              <w:spacing w:line="168" w:lineRule="exact" w:before="51"/>
              <w:rPr>
                <w:b/>
                <w:sz w:val="16"/>
              </w:rPr>
            </w:pPr>
            <w:r>
              <w:rPr>
                <w:b/>
                <w:sz w:val="16"/>
              </w:rPr>
              <w:t>PŘÍPUSTNÉ VYUŽITÍ</w:t>
            </w:r>
          </w:p>
        </w:tc>
        <w:tc>
          <w:tcPr>
            <w:tcW w:w="5035" w:type="dxa"/>
            <w:shd w:val="clear" w:color="auto" w:fill="CCFFFF"/>
          </w:tcPr>
          <w:p>
            <w:pPr>
              <w:pStyle w:val="TableParagraph"/>
              <w:ind w:left="0"/>
              <w:rPr>
                <w:rFonts w:ascii="Times New Roman"/>
                <w:sz w:val="16"/>
              </w:rPr>
            </w:pPr>
          </w:p>
        </w:tc>
      </w:tr>
      <w:tr>
        <w:trPr>
          <w:trHeight w:val="424" w:hRule="atLeast"/>
        </w:trPr>
        <w:tc>
          <w:tcPr>
            <w:tcW w:w="4603" w:type="dxa"/>
          </w:tcPr>
          <w:p>
            <w:pPr>
              <w:pStyle w:val="TableParagraph"/>
              <w:spacing w:line="180" w:lineRule="atLeast" w:before="51"/>
              <w:ind w:right="95"/>
              <w:rPr>
                <w:sz w:val="16"/>
              </w:rPr>
            </w:pPr>
            <w:r>
              <w:rPr>
                <w:b/>
                <w:sz w:val="16"/>
              </w:rPr>
              <w:t>zemědělská výroba </w:t>
            </w:r>
            <w:r>
              <w:rPr>
                <w:sz w:val="16"/>
              </w:rPr>
              <w:t>- kapacitní stáje, produkční haly, sklady, zpracování produktů živočišné i rostlinné výroby</w:t>
            </w:r>
          </w:p>
        </w:tc>
        <w:tc>
          <w:tcPr>
            <w:tcW w:w="5035" w:type="dxa"/>
          </w:tcPr>
          <w:p>
            <w:pPr>
              <w:pStyle w:val="TableParagraph"/>
              <w:ind w:left="0"/>
              <w:rPr>
                <w:rFonts w:ascii="Times New Roman"/>
                <w:sz w:val="16"/>
              </w:rPr>
            </w:pPr>
          </w:p>
        </w:tc>
      </w:tr>
      <w:tr>
        <w:trPr>
          <w:trHeight w:val="429" w:hRule="atLeast"/>
        </w:trPr>
        <w:tc>
          <w:tcPr>
            <w:tcW w:w="4603" w:type="dxa"/>
          </w:tcPr>
          <w:p>
            <w:pPr>
              <w:pStyle w:val="TableParagraph"/>
              <w:spacing w:line="180" w:lineRule="atLeast" w:before="56"/>
              <w:ind w:right="290"/>
              <w:rPr>
                <w:sz w:val="16"/>
              </w:rPr>
            </w:pPr>
            <w:r>
              <w:rPr>
                <w:b/>
                <w:sz w:val="16"/>
              </w:rPr>
              <w:t>zvláštní zájmy </w:t>
            </w:r>
            <w:r>
              <w:rPr>
                <w:sz w:val="16"/>
              </w:rPr>
              <w:t>- zejména bezpečnost, obrana státu, civilní ochrana, vězeňství, zvířecí útulky</w:t>
            </w:r>
          </w:p>
        </w:tc>
        <w:tc>
          <w:tcPr>
            <w:tcW w:w="5035" w:type="dxa"/>
          </w:tcPr>
          <w:p>
            <w:pPr>
              <w:pStyle w:val="TableParagraph"/>
              <w:ind w:left="0"/>
              <w:rPr>
                <w:rFonts w:ascii="Times New Roman"/>
                <w:sz w:val="16"/>
              </w:rPr>
            </w:pPr>
          </w:p>
        </w:tc>
      </w:tr>
      <w:tr>
        <w:trPr>
          <w:trHeight w:val="796" w:hRule="atLeast"/>
        </w:trPr>
        <w:tc>
          <w:tcPr>
            <w:tcW w:w="4603" w:type="dxa"/>
          </w:tcPr>
          <w:p>
            <w:pPr>
              <w:pStyle w:val="TableParagraph"/>
              <w:spacing w:before="53"/>
              <w:ind w:right="77"/>
              <w:rPr>
                <w:sz w:val="16"/>
              </w:rPr>
            </w:pPr>
            <w:r>
              <w:rPr>
                <w:b/>
                <w:sz w:val="16"/>
              </w:rPr>
              <w:t>dopravní vybavení </w:t>
            </w:r>
            <w:r>
              <w:rPr>
                <w:sz w:val="16"/>
              </w:rPr>
              <w:t>- zejména veřejná parkoviště a parkovací objekty OA a autobusů, areály údržby komunikací, areály kamionové přepravy, odstavné plochy a parkovací objekty</w:t>
            </w:r>
          </w:p>
          <w:p>
            <w:pPr>
              <w:pStyle w:val="TableParagraph"/>
              <w:spacing w:line="168" w:lineRule="exact" w:before="3"/>
              <w:rPr>
                <w:sz w:val="16"/>
              </w:rPr>
            </w:pPr>
            <w:r>
              <w:rPr>
                <w:sz w:val="16"/>
              </w:rPr>
              <w:t>NA, čerpací stanice pohonných hmot, autobazary</w:t>
            </w:r>
          </w:p>
        </w:tc>
        <w:tc>
          <w:tcPr>
            <w:tcW w:w="5035" w:type="dxa"/>
          </w:tcPr>
          <w:p>
            <w:pPr>
              <w:pStyle w:val="TableParagraph"/>
              <w:ind w:left="0"/>
              <w:rPr>
                <w:rFonts w:ascii="Times New Roman"/>
                <w:sz w:val="16"/>
              </w:rPr>
            </w:pPr>
          </w:p>
        </w:tc>
      </w:tr>
      <w:tr>
        <w:trPr>
          <w:trHeight w:val="1389" w:hRule="atLeast"/>
        </w:trPr>
        <w:tc>
          <w:tcPr>
            <w:tcW w:w="4603" w:type="dxa"/>
            <w:vMerge w:val="restart"/>
            <w:shd w:val="clear" w:color="auto" w:fill="CCFFFF"/>
          </w:tcPr>
          <w:p>
            <w:pPr>
              <w:pStyle w:val="TableParagraph"/>
              <w:spacing w:before="51"/>
              <w:rPr>
                <w:b/>
                <w:sz w:val="16"/>
              </w:rPr>
            </w:pPr>
            <w:r>
              <w:rPr>
                <w:b/>
                <w:sz w:val="16"/>
              </w:rPr>
              <w:t>PODMÍNĚNĚ PŘÍPUSTNÉ VYUŽITÍ</w:t>
            </w:r>
          </w:p>
        </w:tc>
        <w:tc>
          <w:tcPr>
            <w:tcW w:w="5035" w:type="dxa"/>
            <w:shd w:val="clear" w:color="auto" w:fill="CCFFFF"/>
          </w:tcPr>
          <w:p>
            <w:pPr>
              <w:pStyle w:val="TableParagraph"/>
              <w:spacing w:before="51"/>
              <w:ind w:right="260"/>
              <w:rPr>
                <w:sz w:val="16"/>
              </w:rPr>
            </w:pPr>
            <w:r>
              <w:rPr>
                <w:b/>
                <w:sz w:val="16"/>
              </w:rPr>
              <w:t>obecné podmínky: </w:t>
            </w:r>
            <w:r>
              <w:rPr>
                <w:sz w:val="16"/>
              </w:rPr>
              <w:t>prokázat přiměřenost jeho dopadů ve vztahu k hlavnímu a přípustnému využití z hlediska:</w:t>
            </w:r>
          </w:p>
          <w:p>
            <w:pPr>
              <w:pStyle w:val="TableParagraph"/>
              <w:spacing w:before="59"/>
              <w:rPr>
                <w:sz w:val="16"/>
              </w:rPr>
            </w:pPr>
            <w:r>
              <w:rPr>
                <w:sz w:val="16"/>
              </w:rPr>
              <w:t>významu v širším území</w:t>
            </w:r>
          </w:p>
          <w:p>
            <w:pPr>
              <w:pStyle w:val="TableParagraph"/>
              <w:spacing w:line="316" w:lineRule="auto" w:before="56"/>
              <w:ind w:right="1496"/>
              <w:rPr>
                <w:sz w:val="16"/>
              </w:rPr>
            </w:pPr>
            <w:r>
              <w:rPr>
                <w:sz w:val="16"/>
              </w:rPr>
              <w:t>narušení kvality prostředí resp. pohody bydlení charakteru a kapacity napojení na infrastrukturu</w:t>
            </w:r>
          </w:p>
          <w:p>
            <w:pPr>
              <w:pStyle w:val="TableParagraph"/>
              <w:spacing w:line="165" w:lineRule="exact"/>
              <w:rPr>
                <w:sz w:val="16"/>
              </w:rPr>
            </w:pPr>
            <w:r>
              <w:rPr>
                <w:sz w:val="16"/>
              </w:rPr>
              <w:t>vyvolaných omezení ve smyslu hygienických a dalších předpisů</w:t>
            </w:r>
          </w:p>
        </w:tc>
      </w:tr>
      <w:tr>
        <w:trPr>
          <w:trHeight w:val="239" w:hRule="atLeast"/>
        </w:trPr>
        <w:tc>
          <w:tcPr>
            <w:tcW w:w="4603" w:type="dxa"/>
            <w:vMerge/>
            <w:tcBorders>
              <w:top w:val="nil"/>
            </w:tcBorders>
            <w:shd w:val="clear" w:color="auto" w:fill="CCFFFF"/>
          </w:tcPr>
          <w:p>
            <w:pPr>
              <w:rPr>
                <w:sz w:val="2"/>
                <w:szCs w:val="2"/>
              </w:rPr>
            </w:pPr>
          </w:p>
        </w:tc>
        <w:tc>
          <w:tcPr>
            <w:tcW w:w="5035" w:type="dxa"/>
            <w:shd w:val="clear" w:color="auto" w:fill="CCFFFF"/>
          </w:tcPr>
          <w:p>
            <w:pPr>
              <w:pStyle w:val="TableParagraph"/>
              <w:spacing w:line="168" w:lineRule="exact" w:before="51"/>
              <w:rPr>
                <w:b/>
                <w:sz w:val="16"/>
              </w:rPr>
            </w:pPr>
            <w:r>
              <w:rPr>
                <w:b/>
                <w:sz w:val="16"/>
              </w:rPr>
              <w:t>specifické podmínky:</w:t>
            </w:r>
          </w:p>
        </w:tc>
      </w:tr>
      <w:tr>
        <w:trPr>
          <w:trHeight w:val="611" w:hRule="atLeast"/>
        </w:trPr>
        <w:tc>
          <w:tcPr>
            <w:tcW w:w="4603" w:type="dxa"/>
          </w:tcPr>
          <w:p>
            <w:pPr>
              <w:pStyle w:val="TableParagraph"/>
              <w:spacing w:before="53"/>
              <w:rPr>
                <w:sz w:val="16"/>
              </w:rPr>
            </w:pPr>
            <w:r>
              <w:rPr>
                <w:b/>
                <w:sz w:val="16"/>
              </w:rPr>
              <w:t>občanské vybavení </w:t>
            </w:r>
            <w:r>
              <w:rPr>
                <w:sz w:val="16"/>
              </w:rPr>
              <w:t>- zejména předškolní výchova, vyšší</w:t>
            </w:r>
          </w:p>
          <w:p>
            <w:pPr>
              <w:pStyle w:val="TableParagraph"/>
              <w:spacing w:line="180" w:lineRule="atLeast" w:before="4"/>
              <w:ind w:right="50"/>
              <w:rPr>
                <w:sz w:val="16"/>
              </w:rPr>
            </w:pPr>
            <w:r>
              <w:rPr>
                <w:sz w:val="16"/>
              </w:rPr>
              <w:t>vzdělávání, věda, výzkum, kultura, komerční služby, obchodní prodej, stravování, bezpečnost, výstavnictví, zábavní aktivity</w:t>
            </w:r>
          </w:p>
        </w:tc>
        <w:tc>
          <w:tcPr>
            <w:tcW w:w="5035" w:type="dxa"/>
            <w:vMerge w:val="restart"/>
          </w:tcPr>
          <w:p>
            <w:pPr>
              <w:pStyle w:val="TableParagraph"/>
              <w:spacing w:before="53"/>
              <w:ind w:right="117"/>
              <w:rPr>
                <w:sz w:val="16"/>
              </w:rPr>
            </w:pPr>
            <w:r>
              <w:rPr>
                <w:sz w:val="16"/>
              </w:rPr>
              <w:t>slouží bezprostředně k zajištění hlavního přípustného a podmíněně přípustného využití dané plochy</w:t>
            </w:r>
          </w:p>
        </w:tc>
      </w:tr>
      <w:tr>
        <w:trPr>
          <w:trHeight w:val="256" w:hRule="atLeast"/>
        </w:trPr>
        <w:tc>
          <w:tcPr>
            <w:tcW w:w="4603" w:type="dxa"/>
          </w:tcPr>
          <w:p>
            <w:pPr>
              <w:pStyle w:val="TableParagraph"/>
              <w:spacing w:line="183" w:lineRule="exact" w:before="53"/>
              <w:rPr>
                <w:sz w:val="16"/>
              </w:rPr>
            </w:pPr>
            <w:r>
              <w:rPr>
                <w:b/>
                <w:sz w:val="16"/>
              </w:rPr>
              <w:t>ubytování </w:t>
            </w:r>
            <w:r>
              <w:rPr>
                <w:sz w:val="16"/>
              </w:rPr>
              <w:t>- zejména, ubytovny, motely, penziony</w:t>
            </w:r>
          </w:p>
        </w:tc>
        <w:tc>
          <w:tcPr>
            <w:tcW w:w="5035" w:type="dxa"/>
            <w:vMerge/>
            <w:tcBorders>
              <w:top w:val="nil"/>
            </w:tcBorders>
          </w:tcPr>
          <w:p>
            <w:pPr>
              <w:rPr>
                <w:sz w:val="2"/>
                <w:szCs w:val="2"/>
              </w:rPr>
            </w:pPr>
          </w:p>
        </w:tc>
      </w:tr>
      <w:tr>
        <w:trPr>
          <w:trHeight w:val="297" w:hRule="atLeast"/>
        </w:trPr>
        <w:tc>
          <w:tcPr>
            <w:tcW w:w="4603" w:type="dxa"/>
          </w:tcPr>
          <w:p>
            <w:pPr>
              <w:pStyle w:val="TableParagraph"/>
              <w:spacing w:line="171" w:lineRule="exact" w:before="106"/>
              <w:rPr>
                <w:sz w:val="16"/>
              </w:rPr>
            </w:pPr>
            <w:r>
              <w:rPr>
                <w:b/>
                <w:sz w:val="16"/>
              </w:rPr>
              <w:t>železniční doprava </w:t>
            </w:r>
            <w:r>
              <w:rPr>
                <w:sz w:val="16"/>
              </w:rPr>
              <w:t>- vlečky</w:t>
            </w:r>
          </w:p>
        </w:tc>
        <w:tc>
          <w:tcPr>
            <w:tcW w:w="5035" w:type="dxa"/>
            <w:vMerge/>
            <w:tcBorders>
              <w:top w:val="nil"/>
            </w:tcBorders>
          </w:tcPr>
          <w:p>
            <w:pPr>
              <w:rPr>
                <w:sz w:val="2"/>
                <w:szCs w:val="2"/>
              </w:rPr>
            </w:pPr>
          </w:p>
        </w:tc>
      </w:tr>
      <w:tr>
        <w:trPr>
          <w:trHeight w:val="297" w:hRule="atLeast"/>
        </w:trPr>
        <w:tc>
          <w:tcPr>
            <w:tcW w:w="4603" w:type="dxa"/>
          </w:tcPr>
          <w:p>
            <w:pPr>
              <w:pStyle w:val="TableParagraph"/>
              <w:spacing w:line="171" w:lineRule="exact" w:before="106"/>
              <w:rPr>
                <w:b/>
                <w:sz w:val="16"/>
              </w:rPr>
            </w:pPr>
            <w:r>
              <w:rPr>
                <w:b/>
                <w:sz w:val="16"/>
              </w:rPr>
              <w:t>stavby pro reklamu</w:t>
            </w:r>
          </w:p>
        </w:tc>
        <w:tc>
          <w:tcPr>
            <w:tcW w:w="5035" w:type="dxa"/>
          </w:tcPr>
          <w:p>
            <w:pPr>
              <w:pStyle w:val="TableParagraph"/>
              <w:ind w:left="0"/>
              <w:rPr>
                <w:rFonts w:ascii="Times New Roman"/>
                <w:sz w:val="16"/>
              </w:rPr>
            </w:pPr>
          </w:p>
        </w:tc>
      </w:tr>
      <w:tr>
        <w:trPr>
          <w:trHeight w:val="479" w:hRule="atLeast"/>
        </w:trPr>
        <w:tc>
          <w:tcPr>
            <w:tcW w:w="4603" w:type="dxa"/>
          </w:tcPr>
          <w:p>
            <w:pPr>
              <w:pStyle w:val="TableParagraph"/>
              <w:spacing w:line="180" w:lineRule="atLeast" w:before="106"/>
              <w:rPr>
                <w:b/>
                <w:sz w:val="16"/>
              </w:rPr>
            </w:pPr>
            <w:r>
              <w:rPr>
                <w:b/>
                <w:sz w:val="16"/>
              </w:rPr>
              <w:t>liniové stavby technické infrastruktury nadřazených systémů</w:t>
            </w:r>
          </w:p>
        </w:tc>
        <w:tc>
          <w:tcPr>
            <w:tcW w:w="5035" w:type="dxa"/>
          </w:tcPr>
          <w:p>
            <w:pPr>
              <w:pStyle w:val="TableParagraph"/>
              <w:spacing w:before="109"/>
              <w:rPr>
                <w:sz w:val="16"/>
              </w:rPr>
            </w:pPr>
            <w:r>
              <w:rPr>
                <w:sz w:val="16"/>
              </w:rPr>
              <w:t>souvisí bezprostředně s provozem města</w:t>
            </w:r>
          </w:p>
        </w:tc>
      </w:tr>
      <w:tr>
        <w:trPr>
          <w:trHeight w:val="481" w:hRule="atLeast"/>
        </w:trPr>
        <w:tc>
          <w:tcPr>
            <w:tcW w:w="4603" w:type="dxa"/>
          </w:tcPr>
          <w:p>
            <w:pPr>
              <w:pStyle w:val="TableParagraph"/>
              <w:spacing w:line="182" w:lineRule="exact" w:before="113"/>
              <w:ind w:right="576"/>
              <w:rPr>
                <w:b/>
                <w:sz w:val="16"/>
              </w:rPr>
            </w:pPr>
            <w:r>
              <w:rPr>
                <w:b/>
                <w:sz w:val="16"/>
              </w:rPr>
              <w:t>plošně nenáročná zařízení technické infrastruktury nadřazených systémů</w:t>
            </w:r>
          </w:p>
        </w:tc>
        <w:tc>
          <w:tcPr>
            <w:tcW w:w="5035" w:type="dxa"/>
          </w:tcPr>
          <w:p>
            <w:pPr>
              <w:pStyle w:val="TableParagraph"/>
              <w:spacing w:before="56"/>
              <w:rPr>
                <w:sz w:val="16"/>
              </w:rPr>
            </w:pPr>
            <w:r>
              <w:rPr>
                <w:sz w:val="16"/>
              </w:rPr>
              <w:t>plocha nepřesáhne 2 000 m</w:t>
            </w:r>
            <w:r>
              <w:rPr>
                <w:sz w:val="16"/>
                <w:vertAlign w:val="superscript"/>
              </w:rPr>
              <w:t>2</w:t>
            </w:r>
          </w:p>
          <w:p>
            <w:pPr>
              <w:pStyle w:val="TableParagraph"/>
              <w:spacing w:line="166" w:lineRule="exact" w:before="56"/>
              <w:rPr>
                <w:sz w:val="16"/>
              </w:rPr>
            </w:pPr>
            <w:r>
              <w:rPr>
                <w:sz w:val="16"/>
              </w:rPr>
              <w:t>souvisí bezprostředně s provozem města</w:t>
            </w:r>
          </w:p>
        </w:tc>
      </w:tr>
      <w:tr>
        <w:trPr>
          <w:trHeight w:val="5101" w:hRule="atLeast"/>
        </w:trPr>
        <w:tc>
          <w:tcPr>
            <w:tcW w:w="4603" w:type="dxa"/>
          </w:tcPr>
          <w:p>
            <w:pPr>
              <w:pStyle w:val="TableParagraph"/>
              <w:spacing w:before="109"/>
              <w:rPr>
                <w:b/>
                <w:sz w:val="16"/>
              </w:rPr>
            </w:pPr>
            <w:r>
              <w:rPr>
                <w:b/>
                <w:sz w:val="16"/>
              </w:rPr>
              <w:t>základní vybavenost území</w:t>
            </w:r>
          </w:p>
          <w:p>
            <w:pPr>
              <w:pStyle w:val="TableParagraph"/>
              <w:spacing w:before="58"/>
              <w:ind w:right="450"/>
              <w:rPr>
                <w:sz w:val="16"/>
              </w:rPr>
            </w:pPr>
            <w:r>
              <w:rPr>
                <w:sz w:val="16"/>
              </w:rPr>
              <w:t>terénní úpravy kromě těžebních prací a skládek odpadů, opěrné zdi, propustky a přemostění, oplocení</w:t>
            </w:r>
          </w:p>
          <w:p>
            <w:pPr>
              <w:pStyle w:val="TableParagraph"/>
              <w:spacing w:before="57"/>
              <w:ind w:right="189" w:hanging="1"/>
              <w:rPr>
                <w:sz w:val="16"/>
              </w:rPr>
            </w:pPr>
            <w:r>
              <w:rPr>
                <w:sz w:val="16"/>
              </w:rPr>
              <w:t>vodní toky a vodní plochy do 300 m</w:t>
            </w:r>
            <w:r>
              <w:rPr>
                <w:sz w:val="16"/>
                <w:vertAlign w:val="superscript"/>
              </w:rPr>
              <w:t>2</w:t>
            </w:r>
            <w:r>
              <w:rPr>
                <w:sz w:val="16"/>
                <w:vertAlign w:val="baseline"/>
              </w:rPr>
              <w:t>, parkové, sadovnické a zahradnické úpravy, pobytové louky, plošné a liniové prvky ochranné a doprovodné zeleně vč. biokoridorů ÚSES a IP</w:t>
            </w:r>
          </w:p>
          <w:p>
            <w:pPr>
              <w:pStyle w:val="TableParagraph"/>
              <w:spacing w:before="58"/>
              <w:ind w:right="139" w:hanging="1"/>
              <w:rPr>
                <w:sz w:val="16"/>
              </w:rPr>
            </w:pPr>
            <w:r>
              <w:rPr>
                <w:sz w:val="16"/>
              </w:rPr>
              <w:t>veřejná prostranství - místní komunikace zpřístupňující objekty a pozemky v ploše, komunikace, pobytové prostory s vyloučením motorové dopravy, zastávky VDO, parkování</w:t>
            </w:r>
            <w:r>
              <w:rPr>
                <w:spacing w:val="-22"/>
                <w:sz w:val="16"/>
              </w:rPr>
              <w:t> </w:t>
            </w:r>
            <w:r>
              <w:rPr>
                <w:sz w:val="16"/>
              </w:rPr>
              <w:t>OA</w:t>
            </w:r>
          </w:p>
          <w:p>
            <w:pPr>
              <w:pStyle w:val="TableParagraph"/>
              <w:spacing w:before="57"/>
              <w:ind w:right="156"/>
              <w:rPr>
                <w:sz w:val="16"/>
              </w:rPr>
            </w:pPr>
            <w:r>
              <w:rPr>
                <w:sz w:val="16"/>
              </w:rPr>
              <w:t>technická infrastruktura - liniové stavby a plošně nenáročná zařízení vodovodů, kanalizace, produktovodů, energetických zařízení vč. obnovitelných zdrojů, elektronických</w:t>
            </w:r>
            <w:r>
              <w:rPr>
                <w:spacing w:val="-22"/>
                <w:sz w:val="16"/>
              </w:rPr>
              <w:t> </w:t>
            </w:r>
            <w:r>
              <w:rPr>
                <w:sz w:val="16"/>
              </w:rPr>
              <w:t>komunikací</w:t>
            </w:r>
          </w:p>
          <w:p>
            <w:pPr>
              <w:pStyle w:val="TableParagraph"/>
              <w:spacing w:before="58"/>
              <w:ind w:right="361"/>
              <w:rPr>
                <w:sz w:val="16"/>
              </w:rPr>
            </w:pPr>
            <w:r>
              <w:rPr>
                <w:sz w:val="16"/>
              </w:rPr>
              <w:t>správa a údržba, technologická zařízení, přístřešky pro skladování a manipulaci nesloužící pro hořlavé, chemické látky, které mohou způsobit znečištění životního prostředí</w:t>
            </w:r>
          </w:p>
          <w:p>
            <w:pPr>
              <w:pStyle w:val="TableParagraph"/>
              <w:spacing w:before="55"/>
              <w:ind w:right="610"/>
              <w:rPr>
                <w:sz w:val="16"/>
              </w:rPr>
            </w:pPr>
            <w:r>
              <w:rPr>
                <w:sz w:val="16"/>
              </w:rPr>
              <w:t>rekreace - hřiště, mobiliář, přístřešky pro obsluhu, občerstvení a hygienu, stavby drobné architektury bez pobytových místností</w:t>
            </w:r>
          </w:p>
          <w:p>
            <w:pPr>
              <w:pStyle w:val="TableParagraph"/>
              <w:spacing w:before="58"/>
              <w:ind w:right="140"/>
              <w:rPr>
                <w:sz w:val="16"/>
              </w:rPr>
            </w:pPr>
            <w:r>
              <w:rPr>
                <w:sz w:val="16"/>
              </w:rPr>
              <w:t>pěstitelská a chovatelská činnost - skleníky, kotce, přístřešky pro hospodaření</w:t>
            </w:r>
          </w:p>
          <w:p>
            <w:pPr>
              <w:pStyle w:val="TableParagraph"/>
              <w:spacing w:line="316" w:lineRule="auto" w:before="57"/>
              <w:ind w:right="726" w:hanging="1"/>
              <w:rPr>
                <w:sz w:val="16"/>
              </w:rPr>
            </w:pPr>
            <w:r>
              <w:rPr>
                <w:sz w:val="16"/>
              </w:rPr>
              <w:t>informační zařízení do 8 m</w:t>
            </w:r>
            <w:r>
              <w:rPr>
                <w:sz w:val="16"/>
                <w:vertAlign w:val="superscript"/>
              </w:rPr>
              <w:t>2</w:t>
            </w:r>
            <w:r>
              <w:rPr>
                <w:sz w:val="16"/>
                <w:vertAlign w:val="baseline"/>
              </w:rPr>
              <w:t> informační plochy ochrana před povodněmi, erozí, hlukem, exhalacemi</w:t>
            </w:r>
          </w:p>
          <w:p>
            <w:pPr>
              <w:pStyle w:val="TableParagraph"/>
              <w:spacing w:line="184" w:lineRule="exact" w:before="2"/>
              <w:ind w:right="201"/>
              <w:rPr>
                <w:sz w:val="16"/>
              </w:rPr>
            </w:pPr>
            <w:r>
              <w:rPr>
                <w:sz w:val="16"/>
              </w:rPr>
              <w:t>integrované stavby a zařízení: bydlení správce, občanské vybavení, nerušící výroba, chovatelská a pěstitelská činnost</w:t>
            </w:r>
          </w:p>
        </w:tc>
        <w:tc>
          <w:tcPr>
            <w:tcW w:w="5035" w:type="dxa"/>
          </w:tcPr>
          <w:p>
            <w:pPr>
              <w:pStyle w:val="TableParagraph"/>
              <w:spacing w:before="56"/>
              <w:ind w:right="918"/>
              <w:rPr>
                <w:sz w:val="16"/>
              </w:rPr>
            </w:pPr>
            <w:r>
              <w:rPr>
                <w:sz w:val="16"/>
              </w:rPr>
              <w:t>slouží bezprostředně k zajištění hlavního, přípustného a podmíněně přípustného využití dané plochy</w:t>
            </w:r>
          </w:p>
          <w:p>
            <w:pPr>
              <w:pStyle w:val="TableParagraph"/>
              <w:spacing w:before="57"/>
              <w:ind w:right="223"/>
              <w:rPr>
                <w:sz w:val="16"/>
              </w:rPr>
            </w:pPr>
            <w:r>
              <w:rPr>
                <w:sz w:val="16"/>
              </w:rPr>
              <w:t>budou uplatněny podmínky prostorového uspořádání odpovídající podmínkám prostorového uspořádání dané plochy</w:t>
            </w:r>
          </w:p>
        </w:tc>
      </w:tr>
      <w:tr>
        <w:trPr>
          <w:trHeight w:val="297" w:hRule="atLeast"/>
        </w:trPr>
        <w:tc>
          <w:tcPr>
            <w:tcW w:w="4603" w:type="dxa"/>
            <w:shd w:val="clear" w:color="auto" w:fill="CCFFFF"/>
          </w:tcPr>
          <w:p>
            <w:pPr>
              <w:pStyle w:val="TableParagraph"/>
              <w:spacing w:line="171" w:lineRule="exact" w:before="106"/>
              <w:rPr>
                <w:b/>
                <w:sz w:val="16"/>
              </w:rPr>
            </w:pPr>
            <w:r>
              <w:rPr>
                <w:b/>
                <w:sz w:val="16"/>
              </w:rPr>
              <w:t>NEPŘÍPUSTNÉ VYUŽITÍ</w:t>
            </w:r>
          </w:p>
        </w:tc>
        <w:tc>
          <w:tcPr>
            <w:tcW w:w="5035" w:type="dxa"/>
            <w:shd w:val="clear" w:color="auto" w:fill="CCFFFF"/>
          </w:tcPr>
          <w:p>
            <w:pPr>
              <w:pStyle w:val="TableParagraph"/>
              <w:ind w:left="0"/>
              <w:rPr>
                <w:rFonts w:ascii="Times New Roman"/>
                <w:sz w:val="16"/>
              </w:rPr>
            </w:pPr>
          </w:p>
        </w:tc>
      </w:tr>
      <w:tr>
        <w:trPr>
          <w:trHeight w:val="1204" w:hRule="atLeast"/>
        </w:trPr>
        <w:tc>
          <w:tcPr>
            <w:tcW w:w="4603" w:type="dxa"/>
          </w:tcPr>
          <w:p>
            <w:pPr>
              <w:pStyle w:val="TableParagraph"/>
              <w:spacing w:before="106"/>
              <w:rPr>
                <w:b/>
                <w:sz w:val="16"/>
              </w:rPr>
            </w:pPr>
            <w:r>
              <w:rPr>
                <w:b/>
                <w:sz w:val="16"/>
              </w:rPr>
              <w:t>zejména využití, u kterého existuje riziko, že:</w:t>
            </w:r>
          </w:p>
          <w:p>
            <w:pPr>
              <w:pStyle w:val="TableParagraph"/>
              <w:spacing w:before="61"/>
              <w:rPr>
                <w:sz w:val="16"/>
              </w:rPr>
            </w:pPr>
            <w:r>
              <w:rPr>
                <w:sz w:val="16"/>
              </w:rPr>
              <w:t>naruší kvalitu prostředí plochy výroby a skladování</w:t>
            </w:r>
          </w:p>
          <w:p>
            <w:pPr>
              <w:pStyle w:val="TableParagraph"/>
              <w:spacing w:before="58"/>
              <w:ind w:right="201"/>
              <w:rPr>
                <w:sz w:val="16"/>
              </w:rPr>
            </w:pPr>
            <w:r>
              <w:rPr>
                <w:sz w:val="16"/>
              </w:rPr>
              <w:t>jeho nároky na kvalitu prostředí resp. pohodu bydlení omezí hlavní funkci plochy výroby a skladování</w:t>
            </w:r>
          </w:p>
          <w:p>
            <w:pPr>
              <w:pStyle w:val="TableParagraph"/>
              <w:spacing w:line="166" w:lineRule="exact" w:before="57"/>
              <w:rPr>
                <w:sz w:val="16"/>
              </w:rPr>
            </w:pPr>
            <w:r>
              <w:rPr>
                <w:sz w:val="16"/>
              </w:rPr>
              <w:t>naruší celistvost a funkčnost plochy výroby a skladování</w:t>
            </w:r>
          </w:p>
        </w:tc>
        <w:tc>
          <w:tcPr>
            <w:tcW w:w="5035" w:type="dxa"/>
          </w:tcPr>
          <w:p>
            <w:pPr>
              <w:pStyle w:val="TableParagraph"/>
              <w:ind w:left="0"/>
              <w:rPr>
                <w:rFonts w:ascii="Times New Roman"/>
                <w:sz w:val="16"/>
              </w:rPr>
            </w:pPr>
          </w:p>
        </w:tc>
      </w:tr>
    </w:tbl>
    <w:p>
      <w:pPr>
        <w:spacing w:after="0"/>
        <w:rPr>
          <w:rFonts w:ascii="Times New Roman"/>
          <w:sz w:val="16"/>
        </w:rPr>
        <w:sectPr>
          <w:pgSz w:w="11900" w:h="16840"/>
          <w:pgMar w:header="561" w:footer="582" w:top="760" w:bottom="780" w:left="960" w:right="980"/>
        </w:sectPr>
      </w:pPr>
    </w:p>
    <w:p>
      <w:pPr>
        <w:pStyle w:val="BodyText"/>
        <w:ind w:left="0" w:firstLine="0"/>
        <w:jc w:val="left"/>
        <w:rPr>
          <w:b/>
          <w:sz w:val="20"/>
        </w:rPr>
      </w:pPr>
    </w:p>
    <w:p>
      <w:pPr>
        <w:pStyle w:val="BodyText"/>
        <w:spacing w:before="7"/>
        <w:ind w:left="0" w:firstLine="0"/>
        <w:jc w:val="left"/>
        <w:rPr>
          <w:b/>
          <w:sz w:val="11"/>
        </w:r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03"/>
        <w:gridCol w:w="5035"/>
      </w:tblGrid>
      <w:tr>
        <w:trPr>
          <w:trHeight w:val="563" w:hRule="atLeast"/>
        </w:trPr>
        <w:tc>
          <w:tcPr>
            <w:tcW w:w="4603" w:type="dxa"/>
            <w:shd w:val="clear" w:color="auto" w:fill="32CCCC"/>
          </w:tcPr>
          <w:p>
            <w:pPr>
              <w:pStyle w:val="TableParagraph"/>
              <w:spacing w:line="252" w:lineRule="exact" w:before="60"/>
              <w:ind w:right="2182"/>
              <w:rPr>
                <w:b/>
                <w:sz w:val="22"/>
              </w:rPr>
            </w:pPr>
            <w:r>
              <w:rPr>
                <w:b/>
                <w:sz w:val="22"/>
              </w:rPr>
              <w:t>PLOCHY TECHNICKÉ INFRASTRUKTURY</w:t>
            </w:r>
          </w:p>
        </w:tc>
        <w:tc>
          <w:tcPr>
            <w:tcW w:w="5035" w:type="dxa"/>
            <w:shd w:val="clear" w:color="auto" w:fill="32CCCC"/>
          </w:tcPr>
          <w:p>
            <w:pPr>
              <w:pStyle w:val="TableParagraph"/>
              <w:spacing w:before="55"/>
              <w:rPr>
                <w:b/>
                <w:sz w:val="22"/>
              </w:rPr>
            </w:pPr>
            <w:r>
              <w:rPr>
                <w:b/>
                <w:w w:val="100"/>
                <w:sz w:val="22"/>
              </w:rPr>
              <w:t>I</w:t>
            </w:r>
          </w:p>
        </w:tc>
      </w:tr>
      <w:tr>
        <w:trPr>
          <w:trHeight w:val="241" w:hRule="atLeast"/>
        </w:trPr>
        <w:tc>
          <w:tcPr>
            <w:tcW w:w="4603" w:type="dxa"/>
            <w:shd w:val="clear" w:color="auto" w:fill="CCFFFF"/>
          </w:tcPr>
          <w:p>
            <w:pPr>
              <w:pStyle w:val="TableParagraph"/>
              <w:spacing w:line="168" w:lineRule="exact" w:before="53"/>
              <w:rPr>
                <w:sz w:val="16"/>
              </w:rPr>
            </w:pPr>
            <w:r>
              <w:rPr>
                <w:sz w:val="16"/>
              </w:rPr>
              <w:t>pozemky pro stavby, zařízení, úpravy, kultury, činnosti</w:t>
            </w:r>
          </w:p>
        </w:tc>
        <w:tc>
          <w:tcPr>
            <w:tcW w:w="5035" w:type="dxa"/>
            <w:shd w:val="clear" w:color="auto" w:fill="CCFFFF"/>
          </w:tcPr>
          <w:p>
            <w:pPr>
              <w:pStyle w:val="TableParagraph"/>
              <w:ind w:left="0"/>
              <w:rPr>
                <w:rFonts w:ascii="Times New Roman"/>
                <w:sz w:val="16"/>
              </w:rPr>
            </w:pPr>
          </w:p>
        </w:tc>
      </w:tr>
      <w:tr>
        <w:trPr>
          <w:trHeight w:val="239" w:hRule="atLeast"/>
        </w:trPr>
        <w:tc>
          <w:tcPr>
            <w:tcW w:w="4603" w:type="dxa"/>
            <w:shd w:val="clear" w:color="auto" w:fill="CCFFFF"/>
          </w:tcPr>
          <w:p>
            <w:pPr>
              <w:pStyle w:val="TableParagraph"/>
              <w:spacing w:line="168" w:lineRule="exact" w:before="51"/>
              <w:rPr>
                <w:b/>
                <w:sz w:val="16"/>
              </w:rPr>
            </w:pPr>
            <w:r>
              <w:rPr>
                <w:b/>
                <w:sz w:val="16"/>
              </w:rPr>
              <w:t>HLAVNÍ VYUŽITÍ</w:t>
            </w:r>
          </w:p>
        </w:tc>
        <w:tc>
          <w:tcPr>
            <w:tcW w:w="5035" w:type="dxa"/>
            <w:shd w:val="clear" w:color="auto" w:fill="CCFFFF"/>
          </w:tcPr>
          <w:p>
            <w:pPr>
              <w:pStyle w:val="TableParagraph"/>
              <w:ind w:left="0"/>
              <w:rPr>
                <w:rFonts w:ascii="Times New Roman"/>
                <w:sz w:val="16"/>
              </w:rPr>
            </w:pPr>
          </w:p>
        </w:tc>
      </w:tr>
      <w:tr>
        <w:trPr>
          <w:trHeight w:val="1161" w:hRule="atLeast"/>
        </w:trPr>
        <w:tc>
          <w:tcPr>
            <w:tcW w:w="4603" w:type="dxa"/>
          </w:tcPr>
          <w:p>
            <w:pPr>
              <w:pStyle w:val="TableParagraph"/>
              <w:spacing w:before="53"/>
              <w:ind w:left="155" w:right="371"/>
              <w:rPr>
                <w:sz w:val="16"/>
              </w:rPr>
            </w:pPr>
            <w:r>
              <w:rPr>
                <w:b/>
                <w:sz w:val="16"/>
              </w:rPr>
              <w:t>technická infrastruktura </w:t>
            </w:r>
            <w:r>
              <w:rPr>
                <w:sz w:val="16"/>
              </w:rPr>
              <w:t>- zejména zásobování vodou, odvádění a čištění odpadních vod, výroba energie, zásobování energií (teplo, elektřina), doprava produktů (plynná a kapalná média), elektronické komunikace</w:t>
            </w:r>
          </w:p>
          <w:p>
            <w:pPr>
              <w:pStyle w:val="TableParagraph"/>
              <w:spacing w:line="180" w:lineRule="atLeast" w:before="1"/>
              <w:ind w:left="155" w:right="415"/>
              <w:rPr>
                <w:sz w:val="16"/>
              </w:rPr>
            </w:pPr>
            <w:r>
              <w:rPr>
                <w:sz w:val="16"/>
              </w:rPr>
              <w:t>(telekomunikace, radiokomunikace), likvidace a ukládání tuhých odpadů</w:t>
            </w:r>
          </w:p>
        </w:tc>
        <w:tc>
          <w:tcPr>
            <w:tcW w:w="5035" w:type="dxa"/>
          </w:tcPr>
          <w:p>
            <w:pPr>
              <w:pStyle w:val="TableParagraph"/>
              <w:ind w:left="0"/>
              <w:rPr>
                <w:rFonts w:ascii="Times New Roman"/>
                <w:sz w:val="16"/>
              </w:rPr>
            </w:pPr>
          </w:p>
        </w:tc>
      </w:tr>
      <w:tr>
        <w:trPr>
          <w:trHeight w:val="241" w:hRule="atLeast"/>
        </w:trPr>
        <w:tc>
          <w:tcPr>
            <w:tcW w:w="4603" w:type="dxa"/>
            <w:shd w:val="clear" w:color="auto" w:fill="CCFFFF"/>
          </w:tcPr>
          <w:p>
            <w:pPr>
              <w:pStyle w:val="TableParagraph"/>
              <w:spacing w:line="171" w:lineRule="exact" w:before="51"/>
              <w:rPr>
                <w:b/>
                <w:sz w:val="16"/>
              </w:rPr>
            </w:pPr>
            <w:r>
              <w:rPr>
                <w:b/>
                <w:sz w:val="16"/>
              </w:rPr>
              <w:t>PŘÍPUSTNÉ VYUŽITÍ</w:t>
            </w:r>
          </w:p>
        </w:tc>
        <w:tc>
          <w:tcPr>
            <w:tcW w:w="5035" w:type="dxa"/>
            <w:shd w:val="clear" w:color="auto" w:fill="CCFFFF"/>
          </w:tcPr>
          <w:p>
            <w:pPr>
              <w:pStyle w:val="TableParagraph"/>
              <w:ind w:left="0"/>
              <w:rPr>
                <w:rFonts w:ascii="Times New Roman"/>
                <w:sz w:val="16"/>
              </w:rPr>
            </w:pPr>
          </w:p>
        </w:tc>
      </w:tr>
      <w:tr>
        <w:trPr>
          <w:trHeight w:val="239" w:hRule="atLeast"/>
        </w:trPr>
        <w:tc>
          <w:tcPr>
            <w:tcW w:w="4603" w:type="dxa"/>
          </w:tcPr>
          <w:p>
            <w:pPr>
              <w:pStyle w:val="TableParagraph"/>
              <w:spacing w:line="168" w:lineRule="exact" w:before="51"/>
              <w:ind w:left="155"/>
              <w:rPr>
                <w:b/>
                <w:sz w:val="16"/>
              </w:rPr>
            </w:pPr>
            <w:r>
              <w:rPr>
                <w:b/>
                <w:w w:val="100"/>
                <w:sz w:val="16"/>
              </w:rPr>
              <w:t>-</w:t>
            </w:r>
          </w:p>
        </w:tc>
        <w:tc>
          <w:tcPr>
            <w:tcW w:w="5035" w:type="dxa"/>
          </w:tcPr>
          <w:p>
            <w:pPr>
              <w:pStyle w:val="TableParagraph"/>
              <w:ind w:left="0"/>
              <w:rPr>
                <w:rFonts w:ascii="Times New Roman"/>
                <w:sz w:val="16"/>
              </w:rPr>
            </w:pPr>
          </w:p>
        </w:tc>
      </w:tr>
      <w:tr>
        <w:trPr>
          <w:trHeight w:val="1389" w:hRule="atLeast"/>
        </w:trPr>
        <w:tc>
          <w:tcPr>
            <w:tcW w:w="4603" w:type="dxa"/>
            <w:vMerge w:val="restart"/>
            <w:shd w:val="clear" w:color="auto" w:fill="CCFFFF"/>
          </w:tcPr>
          <w:p>
            <w:pPr>
              <w:pStyle w:val="TableParagraph"/>
              <w:spacing w:before="53"/>
              <w:rPr>
                <w:b/>
                <w:sz w:val="16"/>
              </w:rPr>
            </w:pPr>
            <w:r>
              <w:rPr>
                <w:b/>
                <w:sz w:val="16"/>
              </w:rPr>
              <w:t>PODMÍNĚNĚ PŘÍPUSTNÉ VYUŽITÍ</w:t>
            </w:r>
          </w:p>
        </w:tc>
        <w:tc>
          <w:tcPr>
            <w:tcW w:w="5035" w:type="dxa"/>
            <w:shd w:val="clear" w:color="auto" w:fill="CCFFFF"/>
          </w:tcPr>
          <w:p>
            <w:pPr>
              <w:pStyle w:val="TableParagraph"/>
              <w:spacing w:before="53"/>
              <w:ind w:right="260"/>
              <w:rPr>
                <w:sz w:val="16"/>
              </w:rPr>
            </w:pPr>
            <w:r>
              <w:rPr>
                <w:b/>
                <w:sz w:val="16"/>
              </w:rPr>
              <w:t>obecné podmínky: </w:t>
            </w:r>
            <w:r>
              <w:rPr>
                <w:sz w:val="16"/>
              </w:rPr>
              <w:t>prokázat přiměřenost jeho dopadů ve vztahu k hlavnímu a přípustnému využití z hlediska:</w:t>
            </w:r>
          </w:p>
          <w:p>
            <w:pPr>
              <w:pStyle w:val="TableParagraph"/>
              <w:spacing w:before="60"/>
              <w:rPr>
                <w:sz w:val="16"/>
              </w:rPr>
            </w:pPr>
            <w:r>
              <w:rPr>
                <w:sz w:val="16"/>
              </w:rPr>
              <w:t>významu v širším území</w:t>
            </w:r>
          </w:p>
          <w:p>
            <w:pPr>
              <w:pStyle w:val="TableParagraph"/>
              <w:spacing w:line="312" w:lineRule="auto" w:before="56"/>
              <w:ind w:right="1496"/>
              <w:rPr>
                <w:sz w:val="16"/>
              </w:rPr>
            </w:pPr>
            <w:r>
              <w:rPr>
                <w:sz w:val="16"/>
              </w:rPr>
              <w:t>narušení kvality prostředí resp. pohody bydlení charakteru a kapacity napojení na infrastrukturu</w:t>
            </w:r>
          </w:p>
          <w:p>
            <w:pPr>
              <w:pStyle w:val="TableParagraph"/>
              <w:spacing w:line="166" w:lineRule="exact" w:before="4"/>
              <w:rPr>
                <w:sz w:val="16"/>
              </w:rPr>
            </w:pPr>
            <w:r>
              <w:rPr>
                <w:sz w:val="16"/>
              </w:rPr>
              <w:t>vyvolaných omezení ve smyslu hygienických a dalších předpisů</w:t>
            </w:r>
          </w:p>
        </w:tc>
      </w:tr>
      <w:tr>
        <w:trPr>
          <w:trHeight w:val="241" w:hRule="atLeast"/>
        </w:trPr>
        <w:tc>
          <w:tcPr>
            <w:tcW w:w="4603" w:type="dxa"/>
            <w:vMerge/>
            <w:tcBorders>
              <w:top w:val="nil"/>
            </w:tcBorders>
            <w:shd w:val="clear" w:color="auto" w:fill="CCFFFF"/>
          </w:tcPr>
          <w:p>
            <w:pPr>
              <w:rPr>
                <w:sz w:val="2"/>
                <w:szCs w:val="2"/>
              </w:rPr>
            </w:pPr>
          </w:p>
        </w:tc>
        <w:tc>
          <w:tcPr>
            <w:tcW w:w="5035" w:type="dxa"/>
            <w:shd w:val="clear" w:color="auto" w:fill="CCFFFF"/>
          </w:tcPr>
          <w:p>
            <w:pPr>
              <w:pStyle w:val="TableParagraph"/>
              <w:spacing w:line="171" w:lineRule="exact" w:before="51"/>
              <w:rPr>
                <w:b/>
                <w:sz w:val="16"/>
              </w:rPr>
            </w:pPr>
            <w:r>
              <w:rPr>
                <w:b/>
                <w:sz w:val="16"/>
              </w:rPr>
              <w:t>specifické podmínky:</w:t>
            </w:r>
          </w:p>
        </w:tc>
      </w:tr>
      <w:tr>
        <w:trPr>
          <w:trHeight w:val="244" w:hRule="atLeast"/>
        </w:trPr>
        <w:tc>
          <w:tcPr>
            <w:tcW w:w="4603" w:type="dxa"/>
          </w:tcPr>
          <w:p>
            <w:pPr>
              <w:pStyle w:val="TableParagraph"/>
              <w:spacing w:line="173" w:lineRule="exact" w:before="51"/>
              <w:rPr>
                <w:b/>
                <w:sz w:val="16"/>
              </w:rPr>
            </w:pPr>
            <w:r>
              <w:rPr>
                <w:b/>
                <w:sz w:val="16"/>
              </w:rPr>
              <w:t>integrovaná výroba</w:t>
            </w:r>
          </w:p>
        </w:tc>
        <w:tc>
          <w:tcPr>
            <w:tcW w:w="5035" w:type="dxa"/>
          </w:tcPr>
          <w:p>
            <w:pPr>
              <w:pStyle w:val="TableParagraph"/>
              <w:spacing w:before="37"/>
              <w:rPr>
                <w:sz w:val="16"/>
              </w:rPr>
            </w:pPr>
            <w:r>
              <w:rPr>
                <w:sz w:val="16"/>
              </w:rPr>
              <w:t>slouží bezprostředně k zajištění hlavního využití dané plochy</w:t>
            </w:r>
          </w:p>
        </w:tc>
      </w:tr>
      <w:tr>
        <w:trPr>
          <w:trHeight w:val="5101" w:hRule="atLeast"/>
        </w:trPr>
        <w:tc>
          <w:tcPr>
            <w:tcW w:w="4603" w:type="dxa"/>
          </w:tcPr>
          <w:p>
            <w:pPr>
              <w:pStyle w:val="TableParagraph"/>
              <w:spacing w:before="106"/>
              <w:rPr>
                <w:b/>
                <w:sz w:val="16"/>
              </w:rPr>
            </w:pPr>
            <w:r>
              <w:rPr>
                <w:b/>
                <w:sz w:val="16"/>
              </w:rPr>
              <w:t>základní vybavenost území</w:t>
            </w:r>
          </w:p>
          <w:p>
            <w:pPr>
              <w:pStyle w:val="TableParagraph"/>
              <w:spacing w:before="61"/>
              <w:ind w:right="450"/>
              <w:rPr>
                <w:sz w:val="16"/>
              </w:rPr>
            </w:pPr>
            <w:r>
              <w:rPr>
                <w:sz w:val="16"/>
              </w:rPr>
              <w:t>terénní úpravy kromě těžebních prací a skládek odpadů, opěrné zdi, propustky a přemostění, oplocení</w:t>
            </w:r>
          </w:p>
          <w:p>
            <w:pPr>
              <w:pStyle w:val="TableParagraph"/>
              <w:spacing w:before="57"/>
              <w:ind w:right="189" w:hanging="1"/>
              <w:rPr>
                <w:sz w:val="16"/>
              </w:rPr>
            </w:pPr>
            <w:r>
              <w:rPr>
                <w:sz w:val="16"/>
              </w:rPr>
              <w:t>vodní toky a vodní plochy do 300 m</w:t>
            </w:r>
            <w:r>
              <w:rPr>
                <w:sz w:val="16"/>
                <w:vertAlign w:val="superscript"/>
              </w:rPr>
              <w:t>2</w:t>
            </w:r>
            <w:r>
              <w:rPr>
                <w:sz w:val="16"/>
                <w:vertAlign w:val="baseline"/>
              </w:rPr>
              <w:t>, parkové, sadovnické a zahradnické úpravy, pobytové louky, plošné a liniové prvky ochranné a doprovodné zeleně vč. biokoridorů ÚSES a IP</w:t>
            </w:r>
          </w:p>
          <w:p>
            <w:pPr>
              <w:pStyle w:val="TableParagraph"/>
              <w:spacing w:before="55"/>
              <w:ind w:right="139" w:hanging="1"/>
              <w:rPr>
                <w:sz w:val="16"/>
              </w:rPr>
            </w:pPr>
            <w:r>
              <w:rPr>
                <w:sz w:val="16"/>
              </w:rPr>
              <w:t>veřejná prostranství - místní komunikace zpřístupňující objekty a pozemky v ploše, komunikace, pobytové prostory s vyloučením motorové dopravy, zastávky VDO, parkování</w:t>
            </w:r>
            <w:r>
              <w:rPr>
                <w:spacing w:val="-22"/>
                <w:sz w:val="16"/>
              </w:rPr>
              <w:t> </w:t>
            </w:r>
            <w:r>
              <w:rPr>
                <w:sz w:val="16"/>
              </w:rPr>
              <w:t>OA</w:t>
            </w:r>
          </w:p>
          <w:p>
            <w:pPr>
              <w:pStyle w:val="TableParagraph"/>
              <w:spacing w:before="58"/>
              <w:ind w:right="156"/>
              <w:rPr>
                <w:sz w:val="16"/>
              </w:rPr>
            </w:pPr>
            <w:r>
              <w:rPr>
                <w:sz w:val="16"/>
              </w:rPr>
              <w:t>technická infrastruktura - liniové stavby a plošně nenáročná zařízení vodovodů, kanalizace, produktovodů, energetických zařízení vč. obnovitelných zdrojů, elektronických</w:t>
            </w:r>
            <w:r>
              <w:rPr>
                <w:spacing w:val="-22"/>
                <w:sz w:val="16"/>
              </w:rPr>
              <w:t> </w:t>
            </w:r>
            <w:r>
              <w:rPr>
                <w:sz w:val="16"/>
              </w:rPr>
              <w:t>komunikací</w:t>
            </w:r>
          </w:p>
          <w:p>
            <w:pPr>
              <w:pStyle w:val="TableParagraph"/>
              <w:spacing w:before="57"/>
              <w:ind w:right="361"/>
              <w:rPr>
                <w:sz w:val="16"/>
              </w:rPr>
            </w:pPr>
            <w:r>
              <w:rPr>
                <w:sz w:val="16"/>
              </w:rPr>
              <w:t>správa a údržba, technologická zařízení, přístřešky pro skladování a manipulaci nesloužící pro hořlavé, chemické látky, které mohou způsobit znečištění životního prostředí</w:t>
            </w:r>
          </w:p>
          <w:p>
            <w:pPr>
              <w:pStyle w:val="TableParagraph"/>
              <w:spacing w:before="58"/>
              <w:ind w:right="610"/>
              <w:rPr>
                <w:sz w:val="16"/>
              </w:rPr>
            </w:pPr>
            <w:r>
              <w:rPr>
                <w:sz w:val="16"/>
              </w:rPr>
              <w:t>rekreace - hřiště, mobiliář, přístřešky pro obsluhu, občerstvení a hygienu, stavby drobné architektury bez pobytových místností</w:t>
            </w:r>
          </w:p>
          <w:p>
            <w:pPr>
              <w:pStyle w:val="TableParagraph"/>
              <w:spacing w:before="55"/>
              <w:ind w:right="140"/>
              <w:rPr>
                <w:sz w:val="16"/>
              </w:rPr>
            </w:pPr>
            <w:r>
              <w:rPr>
                <w:sz w:val="16"/>
              </w:rPr>
              <w:t>pěstitelská a chovatelská činnost - skleníky, kotce, přístřešky pro hospodaření</w:t>
            </w:r>
          </w:p>
          <w:p>
            <w:pPr>
              <w:pStyle w:val="TableParagraph"/>
              <w:spacing w:line="316" w:lineRule="auto" w:before="57"/>
              <w:ind w:right="726" w:hanging="1"/>
              <w:rPr>
                <w:sz w:val="16"/>
              </w:rPr>
            </w:pPr>
            <w:r>
              <w:rPr>
                <w:sz w:val="16"/>
              </w:rPr>
              <w:t>informační zařízení do 8 m</w:t>
            </w:r>
            <w:r>
              <w:rPr>
                <w:sz w:val="16"/>
                <w:vertAlign w:val="superscript"/>
              </w:rPr>
              <w:t>2</w:t>
            </w:r>
            <w:r>
              <w:rPr>
                <w:sz w:val="16"/>
                <w:vertAlign w:val="baseline"/>
              </w:rPr>
              <w:t> informační plochy ochrana před povodněmi, erozí, hlukem, exhalacemi</w:t>
            </w:r>
          </w:p>
          <w:p>
            <w:pPr>
              <w:pStyle w:val="TableParagraph"/>
              <w:spacing w:line="184" w:lineRule="exact" w:before="2"/>
              <w:ind w:right="201"/>
              <w:rPr>
                <w:sz w:val="16"/>
              </w:rPr>
            </w:pPr>
            <w:r>
              <w:rPr>
                <w:sz w:val="16"/>
              </w:rPr>
              <w:t>integrované stavby a zařízení: bydlení správce, občanské vybavení, nerušící výroba, chovatelská a pěstitelská činnost</w:t>
            </w:r>
          </w:p>
        </w:tc>
        <w:tc>
          <w:tcPr>
            <w:tcW w:w="5035" w:type="dxa"/>
          </w:tcPr>
          <w:p>
            <w:pPr>
              <w:pStyle w:val="TableParagraph"/>
              <w:spacing w:before="53"/>
              <w:ind w:right="918"/>
              <w:rPr>
                <w:sz w:val="16"/>
              </w:rPr>
            </w:pPr>
            <w:r>
              <w:rPr>
                <w:sz w:val="16"/>
              </w:rPr>
              <w:t>slouží bezprostředně k zajištění hlavního, přípustného a podmíněně přípustného využití dané plochy</w:t>
            </w:r>
          </w:p>
          <w:p>
            <w:pPr>
              <w:pStyle w:val="TableParagraph"/>
              <w:spacing w:before="57"/>
              <w:ind w:right="223"/>
              <w:rPr>
                <w:sz w:val="16"/>
              </w:rPr>
            </w:pPr>
            <w:r>
              <w:rPr>
                <w:sz w:val="16"/>
              </w:rPr>
              <w:t>budou uplatněny podmínky prostorového uspořádání odpovídající podmínkám prostorového uspořádání dané plochy</w:t>
            </w:r>
          </w:p>
        </w:tc>
      </w:tr>
      <w:tr>
        <w:trPr>
          <w:trHeight w:val="294" w:hRule="atLeast"/>
        </w:trPr>
        <w:tc>
          <w:tcPr>
            <w:tcW w:w="4603" w:type="dxa"/>
            <w:shd w:val="clear" w:color="auto" w:fill="CCFFFF"/>
          </w:tcPr>
          <w:p>
            <w:pPr>
              <w:pStyle w:val="TableParagraph"/>
              <w:spacing w:line="168" w:lineRule="exact" w:before="106"/>
              <w:rPr>
                <w:b/>
                <w:sz w:val="16"/>
              </w:rPr>
            </w:pPr>
            <w:r>
              <w:rPr>
                <w:b/>
                <w:sz w:val="16"/>
              </w:rPr>
              <w:t>NEPŘÍPUSTNÉ VYUŽITÍ</w:t>
            </w:r>
          </w:p>
        </w:tc>
        <w:tc>
          <w:tcPr>
            <w:tcW w:w="5035" w:type="dxa"/>
            <w:shd w:val="clear" w:color="auto" w:fill="CCFFFF"/>
          </w:tcPr>
          <w:p>
            <w:pPr>
              <w:pStyle w:val="TableParagraph"/>
              <w:ind w:left="0"/>
              <w:rPr>
                <w:rFonts w:ascii="Times New Roman"/>
                <w:sz w:val="16"/>
              </w:rPr>
            </w:pPr>
          </w:p>
        </w:tc>
      </w:tr>
      <w:tr>
        <w:trPr>
          <w:trHeight w:val="1204" w:hRule="atLeast"/>
        </w:trPr>
        <w:tc>
          <w:tcPr>
            <w:tcW w:w="4603" w:type="dxa"/>
          </w:tcPr>
          <w:p>
            <w:pPr>
              <w:pStyle w:val="TableParagraph"/>
              <w:spacing w:before="109"/>
              <w:rPr>
                <w:b/>
                <w:sz w:val="16"/>
              </w:rPr>
            </w:pPr>
            <w:r>
              <w:rPr>
                <w:b/>
                <w:sz w:val="16"/>
              </w:rPr>
              <w:t>zejména využití, u kterého existuje riziko, že:</w:t>
            </w:r>
          </w:p>
          <w:p>
            <w:pPr>
              <w:pStyle w:val="TableParagraph"/>
              <w:spacing w:before="58"/>
              <w:rPr>
                <w:sz w:val="16"/>
              </w:rPr>
            </w:pPr>
            <w:r>
              <w:rPr>
                <w:sz w:val="16"/>
              </w:rPr>
              <w:t>naruší kvalitu prostředí plochy technické infrastruktury</w:t>
            </w:r>
          </w:p>
          <w:p>
            <w:pPr>
              <w:pStyle w:val="TableParagraph"/>
              <w:spacing w:before="58"/>
              <w:ind w:right="201"/>
              <w:rPr>
                <w:sz w:val="16"/>
              </w:rPr>
            </w:pPr>
            <w:r>
              <w:rPr>
                <w:sz w:val="16"/>
              </w:rPr>
              <w:t>jeho nároky na kvalitu prostředí resp. pohodu bydlení omezí hlavní funkci plochy technické infrastruktury</w:t>
            </w:r>
          </w:p>
          <w:p>
            <w:pPr>
              <w:pStyle w:val="TableParagraph"/>
              <w:spacing w:line="166" w:lineRule="exact" w:before="57"/>
              <w:rPr>
                <w:sz w:val="16"/>
              </w:rPr>
            </w:pPr>
            <w:r>
              <w:rPr>
                <w:sz w:val="16"/>
              </w:rPr>
              <w:t>naruší celistvost a funkčnost plochy technické infrastruktury</w:t>
            </w:r>
          </w:p>
        </w:tc>
        <w:tc>
          <w:tcPr>
            <w:tcW w:w="5035" w:type="dxa"/>
          </w:tcPr>
          <w:p>
            <w:pPr>
              <w:pStyle w:val="TableParagraph"/>
              <w:ind w:left="0"/>
              <w:rPr>
                <w:rFonts w:ascii="Times New Roman"/>
                <w:sz w:val="16"/>
              </w:rPr>
            </w:pPr>
          </w:p>
        </w:tc>
      </w:tr>
    </w:tbl>
    <w:p>
      <w:pPr>
        <w:spacing w:after="0"/>
        <w:rPr>
          <w:rFonts w:ascii="Times New Roman"/>
          <w:sz w:val="16"/>
        </w:rPr>
        <w:sectPr>
          <w:pgSz w:w="11900" w:h="16840"/>
          <w:pgMar w:header="561" w:footer="582" w:top="760" w:bottom="780" w:left="960" w:right="980"/>
        </w:sectPr>
      </w:pPr>
    </w:p>
    <w:p>
      <w:pPr>
        <w:pStyle w:val="BodyText"/>
        <w:ind w:left="0" w:firstLine="0"/>
        <w:jc w:val="left"/>
        <w:rPr>
          <w:b/>
          <w:sz w:val="20"/>
        </w:rPr>
      </w:pPr>
    </w:p>
    <w:p>
      <w:pPr>
        <w:pStyle w:val="BodyText"/>
        <w:spacing w:before="7"/>
        <w:ind w:left="0" w:firstLine="0"/>
        <w:jc w:val="left"/>
        <w:rPr>
          <w:b/>
          <w:sz w:val="11"/>
        </w:r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03"/>
        <w:gridCol w:w="5035"/>
      </w:tblGrid>
      <w:tr>
        <w:trPr>
          <w:trHeight w:val="563" w:hRule="atLeast"/>
        </w:trPr>
        <w:tc>
          <w:tcPr>
            <w:tcW w:w="4603" w:type="dxa"/>
            <w:shd w:val="clear" w:color="auto" w:fill="32CCCC"/>
          </w:tcPr>
          <w:p>
            <w:pPr>
              <w:pStyle w:val="TableParagraph"/>
              <w:spacing w:line="252" w:lineRule="exact" w:before="60"/>
              <w:ind w:right="141"/>
              <w:rPr>
                <w:b/>
                <w:sz w:val="22"/>
              </w:rPr>
            </w:pPr>
            <w:r>
              <w:rPr>
                <w:b/>
                <w:sz w:val="22"/>
              </w:rPr>
              <w:t>PLOCHY DOPRAVNÍ INFRASTRUKTURY- SILNIČNÍ</w:t>
            </w:r>
          </w:p>
        </w:tc>
        <w:tc>
          <w:tcPr>
            <w:tcW w:w="5035" w:type="dxa"/>
            <w:shd w:val="clear" w:color="auto" w:fill="32CCCC"/>
          </w:tcPr>
          <w:p>
            <w:pPr>
              <w:pStyle w:val="TableParagraph"/>
              <w:spacing w:before="55"/>
              <w:rPr>
                <w:b/>
                <w:sz w:val="22"/>
              </w:rPr>
            </w:pPr>
            <w:r>
              <w:rPr>
                <w:b/>
                <w:w w:val="100"/>
                <w:sz w:val="22"/>
              </w:rPr>
              <w:t>M</w:t>
            </w:r>
          </w:p>
        </w:tc>
      </w:tr>
      <w:tr>
        <w:trPr>
          <w:trHeight w:val="241" w:hRule="atLeast"/>
        </w:trPr>
        <w:tc>
          <w:tcPr>
            <w:tcW w:w="4603" w:type="dxa"/>
            <w:shd w:val="clear" w:color="auto" w:fill="CCFFFF"/>
          </w:tcPr>
          <w:p>
            <w:pPr>
              <w:pStyle w:val="TableParagraph"/>
              <w:spacing w:line="168" w:lineRule="exact" w:before="53"/>
              <w:rPr>
                <w:sz w:val="16"/>
              </w:rPr>
            </w:pPr>
            <w:r>
              <w:rPr>
                <w:sz w:val="16"/>
              </w:rPr>
              <w:t>pozemky pro stavby, zařízení, úpravy, kultury, činnosti</w:t>
            </w:r>
          </w:p>
        </w:tc>
        <w:tc>
          <w:tcPr>
            <w:tcW w:w="5035" w:type="dxa"/>
            <w:shd w:val="clear" w:color="auto" w:fill="CCFFFF"/>
          </w:tcPr>
          <w:p>
            <w:pPr>
              <w:pStyle w:val="TableParagraph"/>
              <w:ind w:left="0"/>
              <w:rPr>
                <w:rFonts w:ascii="Times New Roman"/>
                <w:sz w:val="16"/>
              </w:rPr>
            </w:pPr>
          </w:p>
        </w:tc>
      </w:tr>
      <w:tr>
        <w:trPr>
          <w:trHeight w:val="239" w:hRule="atLeast"/>
        </w:trPr>
        <w:tc>
          <w:tcPr>
            <w:tcW w:w="4603" w:type="dxa"/>
            <w:shd w:val="clear" w:color="auto" w:fill="CCFFFF"/>
          </w:tcPr>
          <w:p>
            <w:pPr>
              <w:pStyle w:val="TableParagraph"/>
              <w:spacing w:line="168" w:lineRule="exact" w:before="51"/>
              <w:rPr>
                <w:b/>
                <w:sz w:val="16"/>
              </w:rPr>
            </w:pPr>
            <w:r>
              <w:rPr>
                <w:b/>
                <w:sz w:val="16"/>
              </w:rPr>
              <w:t>HLAVNÍ VYUŽITÍ</w:t>
            </w:r>
          </w:p>
        </w:tc>
        <w:tc>
          <w:tcPr>
            <w:tcW w:w="5035" w:type="dxa"/>
            <w:shd w:val="clear" w:color="auto" w:fill="CCFFFF"/>
          </w:tcPr>
          <w:p>
            <w:pPr>
              <w:pStyle w:val="TableParagraph"/>
              <w:ind w:left="0"/>
              <w:rPr>
                <w:rFonts w:ascii="Times New Roman"/>
                <w:sz w:val="16"/>
              </w:rPr>
            </w:pPr>
          </w:p>
        </w:tc>
      </w:tr>
      <w:tr>
        <w:trPr>
          <w:trHeight w:val="426" w:hRule="atLeast"/>
        </w:trPr>
        <w:tc>
          <w:tcPr>
            <w:tcW w:w="4603" w:type="dxa"/>
          </w:tcPr>
          <w:p>
            <w:pPr>
              <w:pStyle w:val="TableParagraph"/>
              <w:spacing w:line="180" w:lineRule="atLeast" w:before="53"/>
              <w:ind w:left="155" w:right="114"/>
              <w:rPr>
                <w:sz w:val="16"/>
              </w:rPr>
            </w:pPr>
            <w:r>
              <w:rPr>
                <w:b/>
                <w:sz w:val="16"/>
              </w:rPr>
              <w:t>silniční doprava </w:t>
            </w:r>
            <w:r>
              <w:rPr>
                <w:sz w:val="16"/>
              </w:rPr>
              <w:t>- zejména rychlostní komunikace, silnice I., II., III. třídy</w:t>
            </w:r>
          </w:p>
        </w:tc>
        <w:tc>
          <w:tcPr>
            <w:tcW w:w="5035" w:type="dxa"/>
          </w:tcPr>
          <w:p>
            <w:pPr>
              <w:pStyle w:val="TableParagraph"/>
              <w:ind w:left="0"/>
              <w:rPr>
                <w:rFonts w:ascii="Times New Roman"/>
                <w:sz w:val="16"/>
              </w:rPr>
            </w:pPr>
          </w:p>
        </w:tc>
      </w:tr>
      <w:tr>
        <w:trPr>
          <w:trHeight w:val="239" w:hRule="atLeast"/>
        </w:trPr>
        <w:tc>
          <w:tcPr>
            <w:tcW w:w="4603" w:type="dxa"/>
            <w:shd w:val="clear" w:color="auto" w:fill="CCFFFF"/>
          </w:tcPr>
          <w:p>
            <w:pPr>
              <w:pStyle w:val="TableParagraph"/>
              <w:spacing w:line="168" w:lineRule="exact" w:before="51"/>
              <w:rPr>
                <w:b/>
                <w:sz w:val="16"/>
              </w:rPr>
            </w:pPr>
            <w:r>
              <w:rPr>
                <w:b/>
                <w:sz w:val="16"/>
              </w:rPr>
              <w:t>PŘÍPUSTNÉ VYUŽITÍ</w:t>
            </w:r>
          </w:p>
        </w:tc>
        <w:tc>
          <w:tcPr>
            <w:tcW w:w="5035" w:type="dxa"/>
            <w:shd w:val="clear" w:color="auto" w:fill="CCFFFF"/>
          </w:tcPr>
          <w:p>
            <w:pPr>
              <w:pStyle w:val="TableParagraph"/>
              <w:ind w:left="0"/>
              <w:rPr>
                <w:rFonts w:ascii="Times New Roman"/>
                <w:sz w:val="16"/>
              </w:rPr>
            </w:pPr>
          </w:p>
        </w:tc>
      </w:tr>
      <w:tr>
        <w:trPr>
          <w:trHeight w:val="424" w:hRule="atLeast"/>
        </w:trPr>
        <w:tc>
          <w:tcPr>
            <w:tcW w:w="4603" w:type="dxa"/>
          </w:tcPr>
          <w:p>
            <w:pPr>
              <w:pStyle w:val="TableParagraph"/>
              <w:spacing w:line="180" w:lineRule="atLeast" w:before="51"/>
              <w:ind w:left="155" w:right="60"/>
              <w:rPr>
                <w:sz w:val="16"/>
              </w:rPr>
            </w:pPr>
            <w:r>
              <w:rPr>
                <w:b/>
                <w:sz w:val="16"/>
              </w:rPr>
              <w:t>dopravní vybavení </w:t>
            </w:r>
            <w:r>
              <w:rPr>
                <w:sz w:val="16"/>
              </w:rPr>
              <w:t>- zejména přilehlé parkoviště a parkovací objekty, čerpací stanice pohonných hmot</w:t>
            </w:r>
          </w:p>
        </w:tc>
        <w:tc>
          <w:tcPr>
            <w:tcW w:w="5035" w:type="dxa"/>
          </w:tcPr>
          <w:p>
            <w:pPr>
              <w:pStyle w:val="TableParagraph"/>
              <w:ind w:left="0"/>
              <w:rPr>
                <w:rFonts w:ascii="Times New Roman"/>
                <w:sz w:val="16"/>
              </w:rPr>
            </w:pPr>
          </w:p>
        </w:tc>
      </w:tr>
      <w:tr>
        <w:trPr>
          <w:trHeight w:val="241" w:hRule="atLeast"/>
        </w:trPr>
        <w:tc>
          <w:tcPr>
            <w:tcW w:w="4603" w:type="dxa"/>
          </w:tcPr>
          <w:p>
            <w:pPr>
              <w:pStyle w:val="TableParagraph"/>
              <w:spacing w:line="168" w:lineRule="exact" w:before="53"/>
              <w:ind w:left="155"/>
              <w:rPr>
                <w:b/>
                <w:sz w:val="16"/>
              </w:rPr>
            </w:pPr>
            <w:r>
              <w:rPr>
                <w:b/>
                <w:sz w:val="16"/>
              </w:rPr>
              <w:t>liniové stavby technické infrastruktury</w:t>
            </w:r>
          </w:p>
        </w:tc>
        <w:tc>
          <w:tcPr>
            <w:tcW w:w="5035" w:type="dxa"/>
          </w:tcPr>
          <w:p>
            <w:pPr>
              <w:pStyle w:val="TableParagraph"/>
              <w:ind w:left="0"/>
              <w:rPr>
                <w:rFonts w:ascii="Times New Roman"/>
                <w:sz w:val="16"/>
              </w:rPr>
            </w:pPr>
          </w:p>
        </w:tc>
      </w:tr>
      <w:tr>
        <w:trPr>
          <w:trHeight w:val="1389" w:hRule="atLeast"/>
        </w:trPr>
        <w:tc>
          <w:tcPr>
            <w:tcW w:w="4603" w:type="dxa"/>
            <w:vMerge w:val="restart"/>
            <w:shd w:val="clear" w:color="auto" w:fill="CCFFFF"/>
          </w:tcPr>
          <w:p>
            <w:pPr>
              <w:pStyle w:val="TableParagraph"/>
              <w:spacing w:before="51"/>
              <w:rPr>
                <w:b/>
                <w:sz w:val="16"/>
              </w:rPr>
            </w:pPr>
            <w:r>
              <w:rPr>
                <w:b/>
                <w:sz w:val="16"/>
              </w:rPr>
              <w:t>PODMÍNĚNĚ PŘÍPUSTNÉ VYUŽITÍ</w:t>
            </w:r>
          </w:p>
        </w:tc>
        <w:tc>
          <w:tcPr>
            <w:tcW w:w="5035" w:type="dxa"/>
            <w:shd w:val="clear" w:color="auto" w:fill="CCFFFF"/>
          </w:tcPr>
          <w:p>
            <w:pPr>
              <w:pStyle w:val="TableParagraph"/>
              <w:spacing w:line="244" w:lineRule="auto" w:before="51"/>
              <w:ind w:right="260"/>
              <w:rPr>
                <w:sz w:val="16"/>
              </w:rPr>
            </w:pPr>
            <w:r>
              <w:rPr>
                <w:b/>
                <w:sz w:val="16"/>
              </w:rPr>
              <w:t>obecné podmínky: </w:t>
            </w:r>
            <w:r>
              <w:rPr>
                <w:sz w:val="16"/>
              </w:rPr>
              <w:t>prokázat přiměřenost jeho dopadů ve vztahu k hlavnímu a přípustnému využití z hlediska:</w:t>
            </w:r>
          </w:p>
          <w:p>
            <w:pPr>
              <w:pStyle w:val="TableParagraph"/>
              <w:spacing w:before="52"/>
              <w:rPr>
                <w:sz w:val="16"/>
              </w:rPr>
            </w:pPr>
            <w:r>
              <w:rPr>
                <w:sz w:val="16"/>
              </w:rPr>
              <w:t>významu v širším území</w:t>
            </w:r>
          </w:p>
          <w:p>
            <w:pPr>
              <w:pStyle w:val="TableParagraph"/>
              <w:spacing w:line="312" w:lineRule="auto" w:before="58"/>
              <w:ind w:right="1496"/>
              <w:rPr>
                <w:sz w:val="16"/>
              </w:rPr>
            </w:pPr>
            <w:r>
              <w:rPr>
                <w:sz w:val="16"/>
              </w:rPr>
              <w:t>narušení kvality prostředí resp. pohody bydlení charakteru a kapacity napojení na infrastrukturu</w:t>
            </w:r>
          </w:p>
          <w:p>
            <w:pPr>
              <w:pStyle w:val="TableParagraph"/>
              <w:spacing w:line="168" w:lineRule="exact" w:before="2"/>
              <w:rPr>
                <w:sz w:val="16"/>
              </w:rPr>
            </w:pPr>
            <w:r>
              <w:rPr>
                <w:sz w:val="16"/>
              </w:rPr>
              <w:t>vyvolaných omezení ve smyslu hygienických a dalších předpisů</w:t>
            </w:r>
          </w:p>
        </w:tc>
      </w:tr>
      <w:tr>
        <w:trPr>
          <w:trHeight w:val="239" w:hRule="atLeast"/>
        </w:trPr>
        <w:tc>
          <w:tcPr>
            <w:tcW w:w="4603" w:type="dxa"/>
            <w:vMerge/>
            <w:tcBorders>
              <w:top w:val="nil"/>
            </w:tcBorders>
            <w:shd w:val="clear" w:color="auto" w:fill="CCFFFF"/>
          </w:tcPr>
          <w:p>
            <w:pPr>
              <w:rPr>
                <w:sz w:val="2"/>
                <w:szCs w:val="2"/>
              </w:rPr>
            </w:pPr>
          </w:p>
        </w:tc>
        <w:tc>
          <w:tcPr>
            <w:tcW w:w="5035" w:type="dxa"/>
            <w:shd w:val="clear" w:color="auto" w:fill="CCFFFF"/>
          </w:tcPr>
          <w:p>
            <w:pPr>
              <w:pStyle w:val="TableParagraph"/>
              <w:spacing w:line="168" w:lineRule="exact" w:before="51"/>
              <w:rPr>
                <w:b/>
                <w:sz w:val="16"/>
              </w:rPr>
            </w:pPr>
            <w:r>
              <w:rPr>
                <w:b/>
                <w:sz w:val="16"/>
              </w:rPr>
              <w:t>specifické podmínky:</w:t>
            </w:r>
          </w:p>
        </w:tc>
      </w:tr>
      <w:tr>
        <w:trPr>
          <w:trHeight w:val="594" w:hRule="atLeast"/>
        </w:trPr>
        <w:tc>
          <w:tcPr>
            <w:tcW w:w="4603" w:type="dxa"/>
          </w:tcPr>
          <w:p>
            <w:pPr>
              <w:pStyle w:val="TableParagraph"/>
              <w:spacing w:before="109"/>
              <w:ind w:right="576"/>
              <w:rPr>
                <w:b/>
                <w:sz w:val="16"/>
              </w:rPr>
            </w:pPr>
            <w:r>
              <w:rPr>
                <w:b/>
                <w:sz w:val="16"/>
              </w:rPr>
              <w:t>plošně nenáročná zařízení technické infrastruktury nadřazených systémů</w:t>
            </w:r>
          </w:p>
        </w:tc>
        <w:tc>
          <w:tcPr>
            <w:tcW w:w="5035" w:type="dxa"/>
          </w:tcPr>
          <w:p>
            <w:pPr>
              <w:pStyle w:val="TableParagraph"/>
              <w:spacing w:before="111"/>
              <w:rPr>
                <w:sz w:val="16"/>
              </w:rPr>
            </w:pPr>
            <w:r>
              <w:rPr>
                <w:sz w:val="16"/>
              </w:rPr>
              <w:t>plocha nepřesáhne 300 m</w:t>
            </w:r>
            <w:r>
              <w:rPr>
                <w:sz w:val="16"/>
                <w:vertAlign w:val="superscript"/>
              </w:rPr>
              <w:t>2</w:t>
            </w:r>
          </w:p>
          <w:p>
            <w:pPr>
              <w:pStyle w:val="TableParagraph"/>
              <w:spacing w:line="168" w:lineRule="exact" w:before="111"/>
              <w:rPr>
                <w:sz w:val="16"/>
              </w:rPr>
            </w:pPr>
            <w:r>
              <w:rPr>
                <w:sz w:val="16"/>
              </w:rPr>
              <w:t>souvisí bezprostředně s provozem města</w:t>
            </w:r>
          </w:p>
        </w:tc>
      </w:tr>
      <w:tr>
        <w:trPr>
          <w:trHeight w:val="5101" w:hRule="atLeast"/>
        </w:trPr>
        <w:tc>
          <w:tcPr>
            <w:tcW w:w="4603" w:type="dxa"/>
          </w:tcPr>
          <w:p>
            <w:pPr>
              <w:pStyle w:val="TableParagraph"/>
              <w:spacing w:before="106"/>
              <w:rPr>
                <w:b/>
                <w:sz w:val="16"/>
              </w:rPr>
            </w:pPr>
            <w:r>
              <w:rPr>
                <w:b/>
                <w:sz w:val="16"/>
              </w:rPr>
              <w:t>základní vybavenost území</w:t>
            </w:r>
          </w:p>
          <w:p>
            <w:pPr>
              <w:pStyle w:val="TableParagraph"/>
              <w:spacing w:before="61"/>
              <w:ind w:right="450"/>
              <w:rPr>
                <w:sz w:val="16"/>
              </w:rPr>
            </w:pPr>
            <w:r>
              <w:rPr>
                <w:sz w:val="16"/>
              </w:rPr>
              <w:t>terénní úpravy kromě těžebních prací a skládek odpadů, opěrné zdi, propustky a přemostění, oplocení</w:t>
            </w:r>
          </w:p>
          <w:p>
            <w:pPr>
              <w:pStyle w:val="TableParagraph"/>
              <w:spacing w:before="57"/>
              <w:ind w:right="189" w:hanging="1"/>
              <w:rPr>
                <w:sz w:val="16"/>
              </w:rPr>
            </w:pPr>
            <w:r>
              <w:rPr>
                <w:sz w:val="16"/>
              </w:rPr>
              <w:t>vodní toky a vodní plochy do 300 m</w:t>
            </w:r>
            <w:r>
              <w:rPr>
                <w:sz w:val="16"/>
                <w:vertAlign w:val="superscript"/>
              </w:rPr>
              <w:t>2</w:t>
            </w:r>
            <w:r>
              <w:rPr>
                <w:sz w:val="16"/>
                <w:vertAlign w:val="baseline"/>
              </w:rPr>
              <w:t>, parkové, sadovnické a zahradnické úpravy, pobytové louky, plošné a liniové prvky ochranné a doprovodné zeleně vč. biokoridorů ÚSES a IP</w:t>
            </w:r>
          </w:p>
          <w:p>
            <w:pPr>
              <w:pStyle w:val="TableParagraph"/>
              <w:spacing w:before="58"/>
              <w:ind w:right="139" w:hanging="1"/>
              <w:rPr>
                <w:sz w:val="16"/>
              </w:rPr>
            </w:pPr>
            <w:r>
              <w:rPr>
                <w:sz w:val="16"/>
              </w:rPr>
              <w:t>veřejná prostranství - místní komunikace zpřístupňující objekty a pozemky v ploše, komunikace, pobytové prostory s vyloučením motorové dopravy, zastávky VDO, parkování</w:t>
            </w:r>
            <w:r>
              <w:rPr>
                <w:spacing w:val="-22"/>
                <w:sz w:val="16"/>
              </w:rPr>
              <w:t> </w:t>
            </w:r>
            <w:r>
              <w:rPr>
                <w:sz w:val="16"/>
              </w:rPr>
              <w:t>OA</w:t>
            </w:r>
          </w:p>
          <w:p>
            <w:pPr>
              <w:pStyle w:val="TableParagraph"/>
              <w:spacing w:before="57"/>
              <w:ind w:right="156"/>
              <w:rPr>
                <w:sz w:val="16"/>
              </w:rPr>
            </w:pPr>
            <w:r>
              <w:rPr>
                <w:sz w:val="16"/>
              </w:rPr>
              <w:t>technická infrastruktura - liniové stavby a plošně nenáročná zařízení vodovodů, kanalizace, produktovodů, energetických zařízení vč. obnovitelných zdrojů, elektronických</w:t>
            </w:r>
            <w:r>
              <w:rPr>
                <w:spacing w:val="-22"/>
                <w:sz w:val="16"/>
              </w:rPr>
              <w:t> </w:t>
            </w:r>
            <w:r>
              <w:rPr>
                <w:sz w:val="16"/>
              </w:rPr>
              <w:t>komunikací</w:t>
            </w:r>
          </w:p>
          <w:p>
            <w:pPr>
              <w:pStyle w:val="TableParagraph"/>
              <w:spacing w:before="55"/>
              <w:ind w:right="361"/>
              <w:rPr>
                <w:sz w:val="16"/>
              </w:rPr>
            </w:pPr>
            <w:r>
              <w:rPr>
                <w:sz w:val="16"/>
              </w:rPr>
              <w:t>správa a údržba, technologická zařízení, přístřešky pro skladování a manipulaci nesloužící pro hořlavé, chemické látky, které mohou způsobit znečištění životního prostředí</w:t>
            </w:r>
          </w:p>
          <w:p>
            <w:pPr>
              <w:pStyle w:val="TableParagraph"/>
              <w:spacing w:before="58"/>
              <w:ind w:right="610"/>
              <w:rPr>
                <w:sz w:val="16"/>
              </w:rPr>
            </w:pPr>
            <w:r>
              <w:rPr>
                <w:sz w:val="16"/>
              </w:rPr>
              <w:t>rekreace - hřiště, mobiliář, přístřešky pro obsluhu, občerstvení a hygienu, stavby drobné architektury bez pobytových místností</w:t>
            </w:r>
          </w:p>
          <w:p>
            <w:pPr>
              <w:pStyle w:val="TableParagraph"/>
              <w:spacing w:before="58"/>
              <w:ind w:right="140"/>
              <w:rPr>
                <w:sz w:val="16"/>
              </w:rPr>
            </w:pPr>
            <w:r>
              <w:rPr>
                <w:sz w:val="16"/>
              </w:rPr>
              <w:t>pěstitelská a chovatelská činnost - skleníky, kotce, přístřešky pro hospodaření</w:t>
            </w:r>
          </w:p>
          <w:p>
            <w:pPr>
              <w:pStyle w:val="TableParagraph"/>
              <w:spacing w:line="312" w:lineRule="auto" w:before="57"/>
              <w:ind w:right="726" w:hanging="1"/>
              <w:rPr>
                <w:sz w:val="16"/>
              </w:rPr>
            </w:pPr>
            <w:r>
              <w:rPr>
                <w:sz w:val="16"/>
              </w:rPr>
              <w:t>informační zařízení do 8 m</w:t>
            </w:r>
            <w:r>
              <w:rPr>
                <w:sz w:val="16"/>
                <w:vertAlign w:val="superscript"/>
              </w:rPr>
              <w:t>2</w:t>
            </w:r>
            <w:r>
              <w:rPr>
                <w:sz w:val="16"/>
                <w:vertAlign w:val="baseline"/>
              </w:rPr>
              <w:t> informační plochy ochrana před povodněmi, erozí, hlukem, exhalacemi</w:t>
            </w:r>
          </w:p>
          <w:p>
            <w:pPr>
              <w:pStyle w:val="TableParagraph"/>
              <w:spacing w:line="182" w:lineRule="exact" w:before="10"/>
              <w:ind w:right="201"/>
              <w:rPr>
                <w:sz w:val="16"/>
              </w:rPr>
            </w:pPr>
            <w:r>
              <w:rPr>
                <w:sz w:val="16"/>
              </w:rPr>
              <w:t>integrované stavby a zařízení: bydlení správce, občanské vybavení, nerušící výroba, chovatelská a pěstitelská činnost</w:t>
            </w:r>
          </w:p>
        </w:tc>
        <w:tc>
          <w:tcPr>
            <w:tcW w:w="5035" w:type="dxa"/>
          </w:tcPr>
          <w:p>
            <w:pPr>
              <w:pStyle w:val="TableParagraph"/>
              <w:spacing w:before="53"/>
              <w:ind w:right="918"/>
              <w:rPr>
                <w:sz w:val="16"/>
              </w:rPr>
            </w:pPr>
            <w:r>
              <w:rPr>
                <w:sz w:val="16"/>
              </w:rPr>
              <w:t>slouží bezprostředně k zajištění hlavního, přípustného a podmíněně přípustného využití dané plochy</w:t>
            </w:r>
          </w:p>
          <w:p>
            <w:pPr>
              <w:pStyle w:val="TableParagraph"/>
              <w:spacing w:before="57"/>
              <w:ind w:right="223"/>
              <w:rPr>
                <w:sz w:val="16"/>
              </w:rPr>
            </w:pPr>
            <w:r>
              <w:rPr>
                <w:sz w:val="16"/>
              </w:rPr>
              <w:t>budou uplatněny podmínky prostorového uspořádání odpovídající podmínkám prostorového uspořádání dané plochy</w:t>
            </w:r>
          </w:p>
        </w:tc>
      </w:tr>
      <w:tr>
        <w:trPr>
          <w:trHeight w:val="297" w:hRule="atLeast"/>
        </w:trPr>
        <w:tc>
          <w:tcPr>
            <w:tcW w:w="4603" w:type="dxa"/>
            <w:shd w:val="clear" w:color="auto" w:fill="CCFFFF"/>
          </w:tcPr>
          <w:p>
            <w:pPr>
              <w:pStyle w:val="TableParagraph"/>
              <w:spacing w:line="171" w:lineRule="exact" w:before="106"/>
              <w:rPr>
                <w:b/>
                <w:sz w:val="16"/>
              </w:rPr>
            </w:pPr>
            <w:r>
              <w:rPr>
                <w:b/>
                <w:sz w:val="16"/>
              </w:rPr>
              <w:t>NEPŘÍPUSTNÉ VYUŽITÍ</w:t>
            </w:r>
          </w:p>
        </w:tc>
        <w:tc>
          <w:tcPr>
            <w:tcW w:w="5035" w:type="dxa"/>
            <w:shd w:val="clear" w:color="auto" w:fill="CCFFFF"/>
          </w:tcPr>
          <w:p>
            <w:pPr>
              <w:pStyle w:val="TableParagraph"/>
              <w:ind w:left="0"/>
              <w:rPr>
                <w:rFonts w:ascii="Times New Roman"/>
                <w:sz w:val="16"/>
              </w:rPr>
            </w:pPr>
          </w:p>
        </w:tc>
      </w:tr>
      <w:tr>
        <w:trPr>
          <w:trHeight w:val="1389" w:hRule="atLeast"/>
        </w:trPr>
        <w:tc>
          <w:tcPr>
            <w:tcW w:w="4603" w:type="dxa"/>
          </w:tcPr>
          <w:p>
            <w:pPr>
              <w:pStyle w:val="TableParagraph"/>
              <w:spacing w:before="106"/>
              <w:rPr>
                <w:b/>
                <w:sz w:val="16"/>
              </w:rPr>
            </w:pPr>
            <w:r>
              <w:rPr>
                <w:b/>
                <w:sz w:val="16"/>
              </w:rPr>
              <w:t>zejména využití, u kterého existuje riziko, že:</w:t>
            </w:r>
          </w:p>
          <w:p>
            <w:pPr>
              <w:pStyle w:val="TableParagraph"/>
              <w:spacing w:before="61"/>
              <w:rPr>
                <w:sz w:val="16"/>
              </w:rPr>
            </w:pPr>
            <w:r>
              <w:rPr>
                <w:sz w:val="16"/>
              </w:rPr>
              <w:t>naruší kvalitu prostředí plochy dopravní infrastruktury-silniční</w:t>
            </w:r>
          </w:p>
          <w:p>
            <w:pPr>
              <w:pStyle w:val="TableParagraph"/>
              <w:spacing w:before="56"/>
              <w:ind w:right="201"/>
              <w:rPr>
                <w:sz w:val="16"/>
              </w:rPr>
            </w:pPr>
            <w:r>
              <w:rPr>
                <w:sz w:val="16"/>
              </w:rPr>
              <w:t>jeho nároky na kvalitu prostředí resp. pohodu bydlení omezí hlavní funkci plochy dopravní infrastruktury-silniční</w:t>
            </w:r>
          </w:p>
          <w:p>
            <w:pPr>
              <w:pStyle w:val="TableParagraph"/>
              <w:spacing w:line="180" w:lineRule="atLeast" w:before="57"/>
              <w:ind w:right="237"/>
              <w:rPr>
                <w:sz w:val="16"/>
              </w:rPr>
            </w:pPr>
            <w:r>
              <w:rPr>
                <w:sz w:val="16"/>
              </w:rPr>
              <w:t>naruší celistvost a funkčnost plochy dopravní infrastruktury- silniční</w:t>
            </w:r>
          </w:p>
        </w:tc>
        <w:tc>
          <w:tcPr>
            <w:tcW w:w="5035" w:type="dxa"/>
          </w:tcPr>
          <w:p>
            <w:pPr>
              <w:pStyle w:val="TableParagraph"/>
              <w:ind w:left="0"/>
              <w:rPr>
                <w:rFonts w:ascii="Times New Roman"/>
                <w:sz w:val="16"/>
              </w:rPr>
            </w:pPr>
          </w:p>
        </w:tc>
      </w:tr>
    </w:tbl>
    <w:p>
      <w:pPr>
        <w:spacing w:after="0"/>
        <w:rPr>
          <w:rFonts w:ascii="Times New Roman"/>
          <w:sz w:val="16"/>
        </w:rPr>
        <w:sectPr>
          <w:pgSz w:w="11900" w:h="16840"/>
          <w:pgMar w:header="561" w:footer="582" w:top="760" w:bottom="780" w:left="960" w:right="980"/>
        </w:sectPr>
      </w:pPr>
    </w:p>
    <w:p>
      <w:pPr>
        <w:pStyle w:val="BodyText"/>
        <w:ind w:left="0" w:firstLine="0"/>
        <w:jc w:val="left"/>
        <w:rPr>
          <w:b/>
          <w:sz w:val="20"/>
        </w:rPr>
      </w:pPr>
    </w:p>
    <w:p>
      <w:pPr>
        <w:pStyle w:val="BodyText"/>
        <w:spacing w:before="7"/>
        <w:ind w:left="0" w:firstLine="0"/>
        <w:jc w:val="left"/>
        <w:rPr>
          <w:b/>
          <w:sz w:val="11"/>
        </w:r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03"/>
        <w:gridCol w:w="5035"/>
      </w:tblGrid>
      <w:tr>
        <w:trPr>
          <w:trHeight w:val="563" w:hRule="atLeast"/>
        </w:trPr>
        <w:tc>
          <w:tcPr>
            <w:tcW w:w="4603" w:type="dxa"/>
            <w:shd w:val="clear" w:color="auto" w:fill="32CCCC"/>
          </w:tcPr>
          <w:p>
            <w:pPr>
              <w:pStyle w:val="TableParagraph"/>
              <w:spacing w:line="252" w:lineRule="exact" w:before="60"/>
              <w:ind w:right="141"/>
              <w:rPr>
                <w:b/>
                <w:sz w:val="22"/>
              </w:rPr>
            </w:pPr>
            <w:r>
              <w:rPr>
                <w:b/>
                <w:sz w:val="22"/>
              </w:rPr>
              <w:t>PLOCHY DOPRAVNÍ INFRASTRUKTURY- VYBAVENÍ</w:t>
            </w:r>
          </w:p>
        </w:tc>
        <w:tc>
          <w:tcPr>
            <w:tcW w:w="5035" w:type="dxa"/>
            <w:shd w:val="clear" w:color="auto" w:fill="32CCCC"/>
          </w:tcPr>
          <w:p>
            <w:pPr>
              <w:pStyle w:val="TableParagraph"/>
              <w:spacing w:before="55"/>
              <w:rPr>
                <w:b/>
                <w:sz w:val="22"/>
              </w:rPr>
            </w:pPr>
            <w:r>
              <w:rPr>
                <w:b/>
                <w:w w:val="100"/>
                <w:sz w:val="22"/>
              </w:rPr>
              <w:t>G</w:t>
            </w:r>
          </w:p>
        </w:tc>
      </w:tr>
      <w:tr>
        <w:trPr>
          <w:trHeight w:val="241" w:hRule="atLeast"/>
        </w:trPr>
        <w:tc>
          <w:tcPr>
            <w:tcW w:w="4603" w:type="dxa"/>
            <w:shd w:val="clear" w:color="auto" w:fill="CCFFFF"/>
          </w:tcPr>
          <w:p>
            <w:pPr>
              <w:pStyle w:val="TableParagraph"/>
              <w:spacing w:line="168" w:lineRule="exact" w:before="53"/>
              <w:rPr>
                <w:sz w:val="16"/>
              </w:rPr>
            </w:pPr>
            <w:r>
              <w:rPr>
                <w:sz w:val="16"/>
              </w:rPr>
              <w:t>pozemky pro stavby, zařízení, úpravy, kultury, činnosti</w:t>
            </w:r>
          </w:p>
        </w:tc>
        <w:tc>
          <w:tcPr>
            <w:tcW w:w="5035" w:type="dxa"/>
            <w:shd w:val="clear" w:color="auto" w:fill="CCFFFF"/>
          </w:tcPr>
          <w:p>
            <w:pPr>
              <w:pStyle w:val="TableParagraph"/>
              <w:ind w:left="0"/>
              <w:rPr>
                <w:rFonts w:ascii="Times New Roman"/>
                <w:sz w:val="16"/>
              </w:rPr>
            </w:pPr>
          </w:p>
        </w:tc>
      </w:tr>
      <w:tr>
        <w:trPr>
          <w:trHeight w:val="239" w:hRule="atLeast"/>
        </w:trPr>
        <w:tc>
          <w:tcPr>
            <w:tcW w:w="4603" w:type="dxa"/>
            <w:shd w:val="clear" w:color="auto" w:fill="CCFFFF"/>
          </w:tcPr>
          <w:p>
            <w:pPr>
              <w:pStyle w:val="TableParagraph"/>
              <w:spacing w:line="168" w:lineRule="exact" w:before="51"/>
              <w:rPr>
                <w:b/>
                <w:sz w:val="16"/>
              </w:rPr>
            </w:pPr>
            <w:r>
              <w:rPr>
                <w:b/>
                <w:sz w:val="16"/>
              </w:rPr>
              <w:t>HLAVNÍ VYUŽITÍ</w:t>
            </w:r>
          </w:p>
        </w:tc>
        <w:tc>
          <w:tcPr>
            <w:tcW w:w="5035" w:type="dxa"/>
            <w:shd w:val="clear" w:color="auto" w:fill="CCFFFF"/>
          </w:tcPr>
          <w:p>
            <w:pPr>
              <w:pStyle w:val="TableParagraph"/>
              <w:ind w:left="0"/>
              <w:rPr>
                <w:rFonts w:ascii="Times New Roman"/>
                <w:sz w:val="16"/>
              </w:rPr>
            </w:pPr>
          </w:p>
        </w:tc>
      </w:tr>
      <w:tr>
        <w:trPr>
          <w:trHeight w:val="981" w:hRule="atLeast"/>
        </w:trPr>
        <w:tc>
          <w:tcPr>
            <w:tcW w:w="4603" w:type="dxa"/>
          </w:tcPr>
          <w:p>
            <w:pPr>
              <w:pStyle w:val="TableParagraph"/>
              <w:spacing w:before="56"/>
              <w:ind w:right="77"/>
              <w:rPr>
                <w:sz w:val="16"/>
              </w:rPr>
            </w:pPr>
            <w:r>
              <w:rPr>
                <w:b/>
                <w:sz w:val="16"/>
              </w:rPr>
              <w:t>dopravní vybavení </w:t>
            </w:r>
            <w:r>
              <w:rPr>
                <w:sz w:val="16"/>
              </w:rPr>
              <w:t>- zejména veřejná parkoviště a parkovací objekty OA a autobusů, terminály a vozovny VDO, areály údržby komunikací, areály kamionové přepravy, odstavné</w:t>
            </w:r>
          </w:p>
          <w:p>
            <w:pPr>
              <w:pStyle w:val="TableParagraph"/>
              <w:spacing w:line="182" w:lineRule="exact" w:before="7"/>
              <w:ind w:right="299"/>
              <w:rPr>
                <w:sz w:val="16"/>
              </w:rPr>
            </w:pPr>
            <w:r>
              <w:rPr>
                <w:sz w:val="16"/>
              </w:rPr>
              <w:t>plochy a parkovací objekty NA, čerpací stanice pohonných hmot, autobazary</w:t>
            </w:r>
          </w:p>
        </w:tc>
        <w:tc>
          <w:tcPr>
            <w:tcW w:w="5035" w:type="dxa"/>
          </w:tcPr>
          <w:p>
            <w:pPr>
              <w:pStyle w:val="TableParagraph"/>
              <w:ind w:left="0"/>
              <w:rPr>
                <w:rFonts w:ascii="Times New Roman"/>
                <w:sz w:val="16"/>
              </w:rPr>
            </w:pPr>
          </w:p>
        </w:tc>
      </w:tr>
      <w:tr>
        <w:trPr>
          <w:trHeight w:val="239" w:hRule="atLeast"/>
        </w:trPr>
        <w:tc>
          <w:tcPr>
            <w:tcW w:w="4603" w:type="dxa"/>
            <w:shd w:val="clear" w:color="auto" w:fill="CCFFFF"/>
          </w:tcPr>
          <w:p>
            <w:pPr>
              <w:pStyle w:val="TableParagraph"/>
              <w:spacing w:line="168" w:lineRule="exact" w:before="51"/>
              <w:rPr>
                <w:b/>
                <w:sz w:val="16"/>
              </w:rPr>
            </w:pPr>
            <w:r>
              <w:rPr>
                <w:b/>
                <w:sz w:val="16"/>
              </w:rPr>
              <w:t>PŘÍPUSTNÉ VYUŽITÍ</w:t>
            </w:r>
          </w:p>
        </w:tc>
        <w:tc>
          <w:tcPr>
            <w:tcW w:w="5035" w:type="dxa"/>
            <w:shd w:val="clear" w:color="auto" w:fill="CCFFFF"/>
          </w:tcPr>
          <w:p>
            <w:pPr>
              <w:pStyle w:val="TableParagraph"/>
              <w:ind w:left="0"/>
              <w:rPr>
                <w:rFonts w:ascii="Times New Roman"/>
                <w:sz w:val="16"/>
              </w:rPr>
            </w:pPr>
          </w:p>
        </w:tc>
      </w:tr>
      <w:tr>
        <w:trPr>
          <w:trHeight w:val="244" w:hRule="atLeast"/>
        </w:trPr>
        <w:tc>
          <w:tcPr>
            <w:tcW w:w="4603" w:type="dxa"/>
          </w:tcPr>
          <w:p>
            <w:pPr>
              <w:pStyle w:val="TableParagraph"/>
              <w:spacing w:line="168" w:lineRule="exact" w:before="56"/>
              <w:rPr>
                <w:b/>
                <w:sz w:val="16"/>
              </w:rPr>
            </w:pPr>
            <w:r>
              <w:rPr>
                <w:b/>
                <w:w w:val="100"/>
                <w:sz w:val="16"/>
              </w:rPr>
              <w:t>-</w:t>
            </w:r>
          </w:p>
        </w:tc>
        <w:tc>
          <w:tcPr>
            <w:tcW w:w="5035" w:type="dxa"/>
          </w:tcPr>
          <w:p>
            <w:pPr>
              <w:pStyle w:val="TableParagraph"/>
              <w:ind w:left="0"/>
              <w:rPr>
                <w:rFonts w:ascii="Times New Roman"/>
                <w:sz w:val="16"/>
              </w:rPr>
            </w:pPr>
          </w:p>
        </w:tc>
      </w:tr>
      <w:tr>
        <w:trPr>
          <w:trHeight w:val="1389" w:hRule="atLeast"/>
        </w:trPr>
        <w:tc>
          <w:tcPr>
            <w:tcW w:w="4603" w:type="dxa"/>
            <w:vMerge w:val="restart"/>
            <w:shd w:val="clear" w:color="auto" w:fill="CCFFFF"/>
          </w:tcPr>
          <w:p>
            <w:pPr>
              <w:pStyle w:val="TableParagraph"/>
              <w:spacing w:before="51"/>
              <w:rPr>
                <w:b/>
                <w:sz w:val="16"/>
              </w:rPr>
            </w:pPr>
            <w:r>
              <w:rPr>
                <w:b/>
                <w:sz w:val="16"/>
              </w:rPr>
              <w:t>PODMÍNĚNĚ PŘÍPUSTNÉ VYUŽITÍ</w:t>
            </w:r>
          </w:p>
        </w:tc>
        <w:tc>
          <w:tcPr>
            <w:tcW w:w="5035" w:type="dxa"/>
            <w:shd w:val="clear" w:color="auto" w:fill="CCFFFF"/>
          </w:tcPr>
          <w:p>
            <w:pPr>
              <w:pStyle w:val="TableParagraph"/>
              <w:spacing w:line="244" w:lineRule="auto" w:before="51"/>
              <w:ind w:right="260"/>
              <w:rPr>
                <w:sz w:val="16"/>
              </w:rPr>
            </w:pPr>
            <w:r>
              <w:rPr>
                <w:b/>
                <w:sz w:val="16"/>
              </w:rPr>
              <w:t>obecné podmínky: </w:t>
            </w:r>
            <w:r>
              <w:rPr>
                <w:sz w:val="16"/>
              </w:rPr>
              <w:t>prokázat přiměřenost jeho dopadů ve vztahu k hlavnímu a přípustnému využití z hlediska:</w:t>
            </w:r>
          </w:p>
          <w:p>
            <w:pPr>
              <w:pStyle w:val="TableParagraph"/>
              <w:spacing w:before="52"/>
              <w:rPr>
                <w:sz w:val="16"/>
              </w:rPr>
            </w:pPr>
            <w:r>
              <w:rPr>
                <w:sz w:val="16"/>
              </w:rPr>
              <w:t>významu v širším území</w:t>
            </w:r>
          </w:p>
          <w:p>
            <w:pPr>
              <w:pStyle w:val="TableParagraph"/>
              <w:spacing w:line="312" w:lineRule="auto" w:before="58"/>
              <w:ind w:right="1496"/>
              <w:rPr>
                <w:sz w:val="16"/>
              </w:rPr>
            </w:pPr>
            <w:r>
              <w:rPr>
                <w:sz w:val="16"/>
              </w:rPr>
              <w:t>narušení kvality prostředí resp. pohody bydlení charakteru a kapacity napojení na infrastrukturu</w:t>
            </w:r>
          </w:p>
          <w:p>
            <w:pPr>
              <w:pStyle w:val="TableParagraph"/>
              <w:spacing w:line="166" w:lineRule="exact" w:before="4"/>
              <w:rPr>
                <w:sz w:val="16"/>
              </w:rPr>
            </w:pPr>
            <w:r>
              <w:rPr>
                <w:sz w:val="16"/>
              </w:rPr>
              <w:t>vyvolaných omezení ve smyslu hygienických a dalších předpisů</w:t>
            </w:r>
          </w:p>
        </w:tc>
      </w:tr>
      <w:tr>
        <w:trPr>
          <w:trHeight w:val="241" w:hRule="atLeast"/>
        </w:trPr>
        <w:tc>
          <w:tcPr>
            <w:tcW w:w="4603" w:type="dxa"/>
            <w:vMerge/>
            <w:tcBorders>
              <w:top w:val="nil"/>
            </w:tcBorders>
            <w:shd w:val="clear" w:color="auto" w:fill="CCFFFF"/>
          </w:tcPr>
          <w:p>
            <w:pPr>
              <w:rPr>
                <w:sz w:val="2"/>
                <w:szCs w:val="2"/>
              </w:rPr>
            </w:pPr>
          </w:p>
        </w:tc>
        <w:tc>
          <w:tcPr>
            <w:tcW w:w="5035" w:type="dxa"/>
            <w:shd w:val="clear" w:color="auto" w:fill="CCFFFF"/>
          </w:tcPr>
          <w:p>
            <w:pPr>
              <w:pStyle w:val="TableParagraph"/>
              <w:spacing w:line="171" w:lineRule="exact" w:before="51"/>
              <w:rPr>
                <w:b/>
                <w:sz w:val="16"/>
              </w:rPr>
            </w:pPr>
            <w:r>
              <w:rPr>
                <w:b/>
                <w:sz w:val="16"/>
              </w:rPr>
              <w:t>specifické podmínky:</w:t>
            </w:r>
          </w:p>
        </w:tc>
      </w:tr>
      <w:tr>
        <w:trPr>
          <w:trHeight w:val="611" w:hRule="atLeast"/>
        </w:trPr>
        <w:tc>
          <w:tcPr>
            <w:tcW w:w="4603" w:type="dxa"/>
          </w:tcPr>
          <w:p>
            <w:pPr>
              <w:pStyle w:val="TableParagraph"/>
              <w:spacing w:before="53"/>
              <w:rPr>
                <w:sz w:val="16"/>
              </w:rPr>
            </w:pPr>
            <w:r>
              <w:rPr>
                <w:b/>
                <w:sz w:val="16"/>
              </w:rPr>
              <w:t>občanské vybavení </w:t>
            </w:r>
            <w:r>
              <w:rPr>
                <w:sz w:val="16"/>
              </w:rPr>
              <w:t>- zdravotní služby, komerční služby,</w:t>
            </w:r>
          </w:p>
          <w:p>
            <w:pPr>
              <w:pStyle w:val="TableParagraph"/>
              <w:spacing w:line="182" w:lineRule="exact" w:before="8"/>
              <w:ind w:right="601"/>
              <w:rPr>
                <w:sz w:val="16"/>
              </w:rPr>
            </w:pPr>
            <w:r>
              <w:rPr>
                <w:sz w:val="16"/>
              </w:rPr>
              <w:t>stravování, obchodní prodej, bezpečnost, výstavnictví, zábavní aktivity</w:t>
            </w:r>
          </w:p>
        </w:tc>
        <w:tc>
          <w:tcPr>
            <w:tcW w:w="5035" w:type="dxa"/>
          </w:tcPr>
          <w:p>
            <w:pPr>
              <w:pStyle w:val="TableParagraph"/>
              <w:spacing w:before="53"/>
              <w:rPr>
                <w:sz w:val="16"/>
              </w:rPr>
            </w:pPr>
            <w:r>
              <w:rPr>
                <w:sz w:val="16"/>
              </w:rPr>
              <w:t>slouží bezprostředně k zajištění hlavního využití dané plochy</w:t>
            </w:r>
          </w:p>
        </w:tc>
      </w:tr>
      <w:tr>
        <w:trPr>
          <w:trHeight w:val="244" w:hRule="atLeast"/>
        </w:trPr>
        <w:tc>
          <w:tcPr>
            <w:tcW w:w="4603" w:type="dxa"/>
          </w:tcPr>
          <w:p>
            <w:pPr>
              <w:pStyle w:val="TableParagraph"/>
              <w:spacing w:line="171" w:lineRule="exact" w:before="53"/>
              <w:rPr>
                <w:sz w:val="16"/>
              </w:rPr>
            </w:pPr>
            <w:r>
              <w:rPr>
                <w:b/>
                <w:sz w:val="16"/>
              </w:rPr>
              <w:t>ubytování </w:t>
            </w:r>
            <w:r>
              <w:rPr>
                <w:sz w:val="16"/>
              </w:rPr>
              <w:t>- zejména, ubytovny, motely, penziony</w:t>
            </w:r>
          </w:p>
        </w:tc>
        <w:tc>
          <w:tcPr>
            <w:tcW w:w="5035" w:type="dxa"/>
          </w:tcPr>
          <w:p>
            <w:pPr>
              <w:pStyle w:val="TableParagraph"/>
              <w:spacing w:line="171" w:lineRule="exact" w:before="53"/>
              <w:rPr>
                <w:sz w:val="16"/>
              </w:rPr>
            </w:pPr>
            <w:r>
              <w:rPr>
                <w:sz w:val="16"/>
              </w:rPr>
              <w:t>slouží bezprostředně k zajištění hlavního využití dané plochy</w:t>
            </w:r>
          </w:p>
        </w:tc>
      </w:tr>
      <w:tr>
        <w:trPr>
          <w:trHeight w:val="297" w:hRule="atLeast"/>
        </w:trPr>
        <w:tc>
          <w:tcPr>
            <w:tcW w:w="4603" w:type="dxa"/>
          </w:tcPr>
          <w:p>
            <w:pPr>
              <w:pStyle w:val="TableParagraph"/>
              <w:spacing w:line="171" w:lineRule="exact" w:before="106"/>
              <w:rPr>
                <w:sz w:val="16"/>
              </w:rPr>
            </w:pPr>
            <w:r>
              <w:rPr>
                <w:b/>
                <w:sz w:val="16"/>
              </w:rPr>
              <w:t>železniční doprava </w:t>
            </w:r>
            <w:r>
              <w:rPr>
                <w:sz w:val="16"/>
              </w:rPr>
              <w:t>- vlečky</w:t>
            </w:r>
          </w:p>
        </w:tc>
        <w:tc>
          <w:tcPr>
            <w:tcW w:w="5035" w:type="dxa"/>
          </w:tcPr>
          <w:p>
            <w:pPr>
              <w:pStyle w:val="TableParagraph"/>
              <w:spacing w:line="168" w:lineRule="exact" w:before="109"/>
              <w:rPr>
                <w:sz w:val="16"/>
              </w:rPr>
            </w:pPr>
            <w:r>
              <w:rPr>
                <w:sz w:val="16"/>
              </w:rPr>
              <w:t>slouží bezprostředně k zajištění hlavního využití dané plochy</w:t>
            </w:r>
          </w:p>
        </w:tc>
      </w:tr>
      <w:tr>
        <w:trPr>
          <w:trHeight w:val="297" w:hRule="atLeast"/>
        </w:trPr>
        <w:tc>
          <w:tcPr>
            <w:tcW w:w="4603" w:type="dxa"/>
          </w:tcPr>
          <w:p>
            <w:pPr>
              <w:pStyle w:val="TableParagraph"/>
              <w:spacing w:line="171" w:lineRule="exact" w:before="106"/>
              <w:rPr>
                <w:b/>
                <w:sz w:val="16"/>
              </w:rPr>
            </w:pPr>
            <w:r>
              <w:rPr>
                <w:b/>
                <w:sz w:val="16"/>
              </w:rPr>
              <w:t>stavby pro reklamu</w:t>
            </w:r>
          </w:p>
        </w:tc>
        <w:tc>
          <w:tcPr>
            <w:tcW w:w="5035" w:type="dxa"/>
          </w:tcPr>
          <w:p>
            <w:pPr>
              <w:pStyle w:val="TableParagraph"/>
              <w:ind w:left="0"/>
              <w:rPr>
                <w:rFonts w:ascii="Times New Roman"/>
                <w:sz w:val="16"/>
              </w:rPr>
            </w:pPr>
          </w:p>
        </w:tc>
      </w:tr>
      <w:tr>
        <w:trPr>
          <w:trHeight w:val="479" w:hRule="atLeast"/>
        </w:trPr>
        <w:tc>
          <w:tcPr>
            <w:tcW w:w="4603" w:type="dxa"/>
          </w:tcPr>
          <w:p>
            <w:pPr>
              <w:pStyle w:val="TableParagraph"/>
              <w:spacing w:line="182" w:lineRule="exact" w:before="111"/>
              <w:rPr>
                <w:b/>
                <w:sz w:val="16"/>
              </w:rPr>
            </w:pPr>
            <w:r>
              <w:rPr>
                <w:b/>
                <w:sz w:val="16"/>
              </w:rPr>
              <w:t>liniové stavby technické infrastruktury nadřazených systémů</w:t>
            </w:r>
          </w:p>
        </w:tc>
        <w:tc>
          <w:tcPr>
            <w:tcW w:w="5035" w:type="dxa"/>
          </w:tcPr>
          <w:p>
            <w:pPr>
              <w:pStyle w:val="TableParagraph"/>
              <w:spacing w:before="109"/>
              <w:rPr>
                <w:sz w:val="16"/>
              </w:rPr>
            </w:pPr>
            <w:r>
              <w:rPr>
                <w:sz w:val="16"/>
              </w:rPr>
              <w:t>souvisí bezprostředně s provozem města</w:t>
            </w:r>
          </w:p>
        </w:tc>
      </w:tr>
      <w:tr>
        <w:trPr>
          <w:trHeight w:val="594" w:hRule="atLeast"/>
        </w:trPr>
        <w:tc>
          <w:tcPr>
            <w:tcW w:w="4603" w:type="dxa"/>
          </w:tcPr>
          <w:p>
            <w:pPr>
              <w:pStyle w:val="TableParagraph"/>
              <w:spacing w:before="106"/>
              <w:ind w:right="576"/>
              <w:rPr>
                <w:b/>
                <w:sz w:val="16"/>
              </w:rPr>
            </w:pPr>
            <w:r>
              <w:rPr>
                <w:b/>
                <w:sz w:val="16"/>
              </w:rPr>
              <w:t>plošně nenáročná zařízení technické infrastruktury nadřazených systémů</w:t>
            </w:r>
          </w:p>
        </w:tc>
        <w:tc>
          <w:tcPr>
            <w:tcW w:w="5035" w:type="dxa"/>
          </w:tcPr>
          <w:p>
            <w:pPr>
              <w:pStyle w:val="TableParagraph"/>
              <w:spacing w:before="109"/>
              <w:rPr>
                <w:sz w:val="16"/>
              </w:rPr>
            </w:pPr>
            <w:r>
              <w:rPr>
                <w:sz w:val="16"/>
              </w:rPr>
              <w:t>plocha nepřesáhne 600 m</w:t>
            </w:r>
            <w:r>
              <w:rPr>
                <w:sz w:val="16"/>
                <w:vertAlign w:val="superscript"/>
              </w:rPr>
              <w:t>2</w:t>
            </w:r>
          </w:p>
          <w:p>
            <w:pPr>
              <w:pStyle w:val="TableParagraph"/>
              <w:spacing w:line="168" w:lineRule="exact" w:before="113"/>
              <w:rPr>
                <w:sz w:val="16"/>
              </w:rPr>
            </w:pPr>
            <w:r>
              <w:rPr>
                <w:sz w:val="16"/>
              </w:rPr>
              <w:t>souvisí bezprostředně s provozem města</w:t>
            </w:r>
          </w:p>
        </w:tc>
      </w:tr>
      <w:tr>
        <w:trPr>
          <w:trHeight w:val="5101" w:hRule="atLeast"/>
        </w:trPr>
        <w:tc>
          <w:tcPr>
            <w:tcW w:w="4603" w:type="dxa"/>
          </w:tcPr>
          <w:p>
            <w:pPr>
              <w:pStyle w:val="TableParagraph"/>
              <w:spacing w:before="106"/>
              <w:rPr>
                <w:b/>
                <w:sz w:val="16"/>
              </w:rPr>
            </w:pPr>
            <w:r>
              <w:rPr>
                <w:b/>
                <w:sz w:val="16"/>
              </w:rPr>
              <w:t>základní vybavenost území</w:t>
            </w:r>
          </w:p>
          <w:p>
            <w:pPr>
              <w:pStyle w:val="TableParagraph"/>
              <w:spacing w:before="61"/>
              <w:ind w:right="450"/>
              <w:rPr>
                <w:sz w:val="16"/>
              </w:rPr>
            </w:pPr>
            <w:r>
              <w:rPr>
                <w:sz w:val="16"/>
              </w:rPr>
              <w:t>terénní úpravy kromě těžebních prací a skládek odpadů, opěrné zdi, propustky a přemostění, oplocení</w:t>
            </w:r>
          </w:p>
          <w:p>
            <w:pPr>
              <w:pStyle w:val="TableParagraph"/>
              <w:spacing w:before="57"/>
              <w:ind w:right="189" w:hanging="1"/>
              <w:rPr>
                <w:sz w:val="16"/>
              </w:rPr>
            </w:pPr>
            <w:r>
              <w:rPr>
                <w:sz w:val="16"/>
              </w:rPr>
              <w:t>vodní toky a vodní plochy do 300 m</w:t>
            </w:r>
            <w:r>
              <w:rPr>
                <w:sz w:val="16"/>
                <w:vertAlign w:val="superscript"/>
              </w:rPr>
              <w:t>2</w:t>
            </w:r>
            <w:r>
              <w:rPr>
                <w:sz w:val="16"/>
                <w:vertAlign w:val="baseline"/>
              </w:rPr>
              <w:t>, parkové, sadovnické a zahradnické úpravy, pobytové louky, plošné a liniové prvky ochranné a doprovodné zeleně vč. biokoridorů ÚSES a IP</w:t>
            </w:r>
          </w:p>
          <w:p>
            <w:pPr>
              <w:pStyle w:val="TableParagraph"/>
              <w:spacing w:before="55"/>
              <w:ind w:right="139" w:hanging="1"/>
              <w:rPr>
                <w:sz w:val="16"/>
              </w:rPr>
            </w:pPr>
            <w:r>
              <w:rPr>
                <w:sz w:val="16"/>
              </w:rPr>
              <w:t>veřejná prostranství - místní komunikace zpřístupňující objekty a pozemky v ploše, komunikace, pobytové prostory s vyloučením motorové dopravy, zastávky VDO, parkování</w:t>
            </w:r>
            <w:r>
              <w:rPr>
                <w:spacing w:val="-22"/>
                <w:sz w:val="16"/>
              </w:rPr>
              <w:t> </w:t>
            </w:r>
            <w:r>
              <w:rPr>
                <w:sz w:val="16"/>
              </w:rPr>
              <w:t>OA</w:t>
            </w:r>
          </w:p>
          <w:p>
            <w:pPr>
              <w:pStyle w:val="TableParagraph"/>
              <w:spacing w:before="58"/>
              <w:ind w:right="156"/>
              <w:rPr>
                <w:sz w:val="16"/>
              </w:rPr>
            </w:pPr>
            <w:r>
              <w:rPr>
                <w:sz w:val="16"/>
              </w:rPr>
              <w:t>technická infrastruktura - liniové stavby a plošně nenáročná zařízení vodovodů, kanalizace, produktovodů, energetických zařízení vč. obnovitelných zdrojů, elektronických</w:t>
            </w:r>
            <w:r>
              <w:rPr>
                <w:spacing w:val="-22"/>
                <w:sz w:val="16"/>
              </w:rPr>
              <w:t> </w:t>
            </w:r>
            <w:r>
              <w:rPr>
                <w:sz w:val="16"/>
              </w:rPr>
              <w:t>komunikací</w:t>
            </w:r>
          </w:p>
          <w:p>
            <w:pPr>
              <w:pStyle w:val="TableParagraph"/>
              <w:spacing w:before="57"/>
              <w:ind w:right="361"/>
              <w:rPr>
                <w:sz w:val="16"/>
              </w:rPr>
            </w:pPr>
            <w:r>
              <w:rPr>
                <w:sz w:val="16"/>
              </w:rPr>
              <w:t>správa a údržba, technologická zařízení, přístřešky pro skladování a manipulaci nesloužící pro hořlavé, chemické látky, které mohou způsobit znečištění životního prostředí</w:t>
            </w:r>
          </w:p>
          <w:p>
            <w:pPr>
              <w:pStyle w:val="TableParagraph"/>
              <w:spacing w:before="58"/>
              <w:ind w:right="610"/>
              <w:rPr>
                <w:sz w:val="16"/>
              </w:rPr>
            </w:pPr>
            <w:r>
              <w:rPr>
                <w:sz w:val="16"/>
              </w:rPr>
              <w:t>rekreace - hřiště, mobiliář, přístřešky pro obsluhu, občerstvení a hygienu, stavby drobné architektury bez pobytových místností</w:t>
            </w:r>
          </w:p>
          <w:p>
            <w:pPr>
              <w:pStyle w:val="TableParagraph"/>
              <w:spacing w:before="55"/>
              <w:ind w:right="140"/>
              <w:rPr>
                <w:sz w:val="16"/>
              </w:rPr>
            </w:pPr>
            <w:r>
              <w:rPr>
                <w:sz w:val="16"/>
              </w:rPr>
              <w:t>pěstitelská a chovatelská činnost - skleníky, kotce, přístřešky pro hospodaření</w:t>
            </w:r>
          </w:p>
          <w:p>
            <w:pPr>
              <w:pStyle w:val="TableParagraph"/>
              <w:spacing w:line="316" w:lineRule="auto" w:before="57"/>
              <w:ind w:right="726" w:hanging="1"/>
              <w:rPr>
                <w:sz w:val="16"/>
              </w:rPr>
            </w:pPr>
            <w:r>
              <w:rPr>
                <w:sz w:val="16"/>
              </w:rPr>
              <w:t>informační zařízení do 8 m</w:t>
            </w:r>
            <w:r>
              <w:rPr>
                <w:sz w:val="16"/>
                <w:vertAlign w:val="superscript"/>
              </w:rPr>
              <w:t>2</w:t>
            </w:r>
            <w:r>
              <w:rPr>
                <w:sz w:val="16"/>
                <w:vertAlign w:val="baseline"/>
              </w:rPr>
              <w:t> informační plochy ochrana před povodněmi, erozí, hlukem, exhalacemi</w:t>
            </w:r>
          </w:p>
          <w:p>
            <w:pPr>
              <w:pStyle w:val="TableParagraph"/>
              <w:spacing w:line="184" w:lineRule="exact" w:before="2"/>
              <w:ind w:right="201"/>
              <w:rPr>
                <w:sz w:val="16"/>
              </w:rPr>
            </w:pPr>
            <w:r>
              <w:rPr>
                <w:sz w:val="16"/>
              </w:rPr>
              <w:t>integrované stavby a zařízení: bydlení správce, občanské vybavení, nerušící výroba, chovatelská a pěstitelská činnost</w:t>
            </w:r>
          </w:p>
        </w:tc>
        <w:tc>
          <w:tcPr>
            <w:tcW w:w="5035" w:type="dxa"/>
          </w:tcPr>
          <w:p>
            <w:pPr>
              <w:pStyle w:val="TableParagraph"/>
              <w:spacing w:before="53"/>
              <w:ind w:right="918"/>
              <w:rPr>
                <w:sz w:val="16"/>
              </w:rPr>
            </w:pPr>
            <w:r>
              <w:rPr>
                <w:sz w:val="16"/>
              </w:rPr>
              <w:t>slouží bezprostředně k zajištění hlavního, přípustného a podmíněně přípustného využití dané plochy</w:t>
            </w:r>
          </w:p>
          <w:p>
            <w:pPr>
              <w:pStyle w:val="TableParagraph"/>
              <w:spacing w:before="57"/>
              <w:ind w:right="223"/>
              <w:rPr>
                <w:sz w:val="16"/>
              </w:rPr>
            </w:pPr>
            <w:r>
              <w:rPr>
                <w:sz w:val="16"/>
              </w:rPr>
              <w:t>budou uplatněny podmínky prostorového uspořádání odpovídající podmínkám prostorového uspořádání dané plochy</w:t>
            </w:r>
          </w:p>
        </w:tc>
      </w:tr>
      <w:tr>
        <w:trPr>
          <w:trHeight w:val="294" w:hRule="atLeast"/>
        </w:trPr>
        <w:tc>
          <w:tcPr>
            <w:tcW w:w="4603" w:type="dxa"/>
            <w:shd w:val="clear" w:color="auto" w:fill="CCFFFF"/>
          </w:tcPr>
          <w:p>
            <w:pPr>
              <w:pStyle w:val="TableParagraph"/>
              <w:spacing w:line="168" w:lineRule="exact" w:before="106"/>
              <w:rPr>
                <w:b/>
                <w:sz w:val="16"/>
              </w:rPr>
            </w:pPr>
            <w:r>
              <w:rPr>
                <w:b/>
                <w:sz w:val="16"/>
              </w:rPr>
              <w:t>NEPŘÍPUSTNÉ VYUŽITÍ</w:t>
            </w:r>
          </w:p>
        </w:tc>
        <w:tc>
          <w:tcPr>
            <w:tcW w:w="5035" w:type="dxa"/>
            <w:shd w:val="clear" w:color="auto" w:fill="CCFFFF"/>
          </w:tcPr>
          <w:p>
            <w:pPr>
              <w:pStyle w:val="TableParagraph"/>
              <w:ind w:left="0"/>
              <w:rPr>
                <w:rFonts w:ascii="Times New Roman"/>
                <w:sz w:val="16"/>
              </w:rPr>
            </w:pPr>
          </w:p>
        </w:tc>
      </w:tr>
      <w:tr>
        <w:trPr>
          <w:trHeight w:val="1574" w:hRule="atLeast"/>
        </w:trPr>
        <w:tc>
          <w:tcPr>
            <w:tcW w:w="4603" w:type="dxa"/>
          </w:tcPr>
          <w:p>
            <w:pPr>
              <w:pStyle w:val="TableParagraph"/>
              <w:spacing w:before="109"/>
              <w:rPr>
                <w:b/>
                <w:sz w:val="16"/>
              </w:rPr>
            </w:pPr>
            <w:r>
              <w:rPr>
                <w:b/>
                <w:sz w:val="16"/>
              </w:rPr>
              <w:t>zejména využití, u kterého existuje riziko, že:</w:t>
            </w:r>
          </w:p>
          <w:p>
            <w:pPr>
              <w:pStyle w:val="TableParagraph"/>
              <w:spacing w:before="58"/>
              <w:ind w:right="629"/>
              <w:rPr>
                <w:sz w:val="16"/>
              </w:rPr>
            </w:pPr>
            <w:r>
              <w:rPr>
                <w:sz w:val="16"/>
              </w:rPr>
              <w:t>naruší kvalitu prostředí plochy dopravní infrastruktury- vybavení</w:t>
            </w:r>
          </w:p>
          <w:p>
            <w:pPr>
              <w:pStyle w:val="TableParagraph"/>
              <w:spacing w:before="57"/>
              <w:ind w:right="201"/>
              <w:rPr>
                <w:sz w:val="16"/>
              </w:rPr>
            </w:pPr>
            <w:r>
              <w:rPr>
                <w:sz w:val="16"/>
              </w:rPr>
              <w:t>jeho nároky na kvalitu prostředí resp. pohodu bydlení omezí hlavní funkci plochy dopravní infrastruktury-vybavení</w:t>
            </w:r>
          </w:p>
          <w:p>
            <w:pPr>
              <w:pStyle w:val="TableParagraph"/>
              <w:spacing w:line="182" w:lineRule="exact" w:before="64"/>
              <w:ind w:right="237"/>
              <w:rPr>
                <w:sz w:val="16"/>
              </w:rPr>
            </w:pPr>
            <w:r>
              <w:rPr>
                <w:sz w:val="16"/>
              </w:rPr>
              <w:t>naruší celistvost a funkčnost plochy dopravní infrastruktury- vybavení</w:t>
            </w:r>
          </w:p>
        </w:tc>
        <w:tc>
          <w:tcPr>
            <w:tcW w:w="5035" w:type="dxa"/>
          </w:tcPr>
          <w:p>
            <w:pPr>
              <w:pStyle w:val="TableParagraph"/>
              <w:ind w:left="0"/>
              <w:rPr>
                <w:rFonts w:ascii="Times New Roman"/>
                <w:sz w:val="16"/>
              </w:rPr>
            </w:pPr>
          </w:p>
        </w:tc>
      </w:tr>
    </w:tbl>
    <w:p>
      <w:pPr>
        <w:spacing w:after="0"/>
        <w:rPr>
          <w:rFonts w:ascii="Times New Roman"/>
          <w:sz w:val="16"/>
        </w:rPr>
        <w:sectPr>
          <w:pgSz w:w="11900" w:h="16840"/>
          <w:pgMar w:header="561" w:footer="582" w:top="760" w:bottom="780" w:left="960" w:right="980"/>
        </w:sectPr>
      </w:pPr>
    </w:p>
    <w:p>
      <w:pPr>
        <w:pStyle w:val="BodyText"/>
        <w:ind w:left="0" w:firstLine="0"/>
        <w:jc w:val="left"/>
        <w:rPr>
          <w:b/>
          <w:sz w:val="20"/>
        </w:rPr>
      </w:pPr>
    </w:p>
    <w:p>
      <w:pPr>
        <w:pStyle w:val="BodyText"/>
        <w:spacing w:before="7"/>
        <w:ind w:left="0" w:firstLine="0"/>
        <w:jc w:val="left"/>
        <w:rPr>
          <w:b/>
          <w:sz w:val="11"/>
        </w:r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03"/>
        <w:gridCol w:w="5035"/>
      </w:tblGrid>
      <w:tr>
        <w:trPr>
          <w:trHeight w:val="563" w:hRule="atLeast"/>
        </w:trPr>
        <w:tc>
          <w:tcPr>
            <w:tcW w:w="4603" w:type="dxa"/>
            <w:shd w:val="clear" w:color="auto" w:fill="32CCCC"/>
          </w:tcPr>
          <w:p>
            <w:pPr>
              <w:pStyle w:val="TableParagraph"/>
              <w:spacing w:line="252" w:lineRule="exact" w:before="60"/>
              <w:ind w:right="141"/>
              <w:rPr>
                <w:b/>
                <w:sz w:val="22"/>
              </w:rPr>
            </w:pPr>
            <w:r>
              <w:rPr>
                <w:b/>
                <w:sz w:val="22"/>
              </w:rPr>
              <w:t>PLOCHY DOPRAVNÍ INFRASTRUKTURY- DRÁŽNÍ</w:t>
            </w:r>
          </w:p>
        </w:tc>
        <w:tc>
          <w:tcPr>
            <w:tcW w:w="5035" w:type="dxa"/>
            <w:shd w:val="clear" w:color="auto" w:fill="32CCCC"/>
          </w:tcPr>
          <w:p>
            <w:pPr>
              <w:pStyle w:val="TableParagraph"/>
              <w:spacing w:before="55"/>
              <w:rPr>
                <w:b/>
                <w:sz w:val="22"/>
              </w:rPr>
            </w:pPr>
            <w:r>
              <w:rPr>
                <w:b/>
                <w:w w:val="100"/>
                <w:sz w:val="22"/>
              </w:rPr>
              <w:t>D</w:t>
            </w:r>
          </w:p>
        </w:tc>
      </w:tr>
      <w:tr>
        <w:trPr>
          <w:trHeight w:val="241" w:hRule="atLeast"/>
        </w:trPr>
        <w:tc>
          <w:tcPr>
            <w:tcW w:w="4603" w:type="dxa"/>
            <w:shd w:val="clear" w:color="auto" w:fill="CCFFFF"/>
          </w:tcPr>
          <w:p>
            <w:pPr>
              <w:pStyle w:val="TableParagraph"/>
              <w:spacing w:line="168" w:lineRule="exact" w:before="53"/>
              <w:rPr>
                <w:sz w:val="16"/>
              </w:rPr>
            </w:pPr>
            <w:r>
              <w:rPr>
                <w:sz w:val="16"/>
              </w:rPr>
              <w:t>pozemky pro stavby, zařízení, úpravy, kultury, činnosti</w:t>
            </w:r>
          </w:p>
        </w:tc>
        <w:tc>
          <w:tcPr>
            <w:tcW w:w="5035" w:type="dxa"/>
            <w:shd w:val="clear" w:color="auto" w:fill="CCFFFF"/>
          </w:tcPr>
          <w:p>
            <w:pPr>
              <w:pStyle w:val="TableParagraph"/>
              <w:ind w:left="0"/>
              <w:rPr>
                <w:rFonts w:ascii="Times New Roman"/>
                <w:sz w:val="16"/>
              </w:rPr>
            </w:pPr>
          </w:p>
        </w:tc>
      </w:tr>
      <w:tr>
        <w:trPr>
          <w:trHeight w:val="239" w:hRule="atLeast"/>
        </w:trPr>
        <w:tc>
          <w:tcPr>
            <w:tcW w:w="4603" w:type="dxa"/>
            <w:shd w:val="clear" w:color="auto" w:fill="CCFFFF"/>
          </w:tcPr>
          <w:p>
            <w:pPr>
              <w:pStyle w:val="TableParagraph"/>
              <w:spacing w:line="168" w:lineRule="exact" w:before="51"/>
              <w:rPr>
                <w:b/>
                <w:sz w:val="16"/>
              </w:rPr>
            </w:pPr>
            <w:r>
              <w:rPr>
                <w:b/>
                <w:sz w:val="16"/>
              </w:rPr>
              <w:t>HLAVNÍ VYUŽITÍ</w:t>
            </w:r>
          </w:p>
        </w:tc>
        <w:tc>
          <w:tcPr>
            <w:tcW w:w="5035" w:type="dxa"/>
            <w:shd w:val="clear" w:color="auto" w:fill="CCFFFF"/>
          </w:tcPr>
          <w:p>
            <w:pPr>
              <w:pStyle w:val="TableParagraph"/>
              <w:ind w:left="0"/>
              <w:rPr>
                <w:rFonts w:ascii="Times New Roman"/>
                <w:sz w:val="16"/>
              </w:rPr>
            </w:pPr>
          </w:p>
        </w:tc>
      </w:tr>
      <w:tr>
        <w:trPr>
          <w:trHeight w:val="609" w:hRule="atLeast"/>
        </w:trPr>
        <w:tc>
          <w:tcPr>
            <w:tcW w:w="4603" w:type="dxa"/>
          </w:tcPr>
          <w:p>
            <w:pPr>
              <w:pStyle w:val="TableParagraph"/>
              <w:spacing w:line="180" w:lineRule="atLeast" w:before="53"/>
              <w:ind w:left="155" w:right="394"/>
              <w:jc w:val="both"/>
              <w:rPr>
                <w:sz w:val="16"/>
              </w:rPr>
            </w:pPr>
            <w:r>
              <w:rPr>
                <w:b/>
                <w:sz w:val="16"/>
              </w:rPr>
              <w:t>železniční doprava </w:t>
            </w:r>
            <w:r>
              <w:rPr>
                <w:sz w:val="16"/>
              </w:rPr>
              <w:t>- zejména trati a kolejiště, železniční vlečky, nádraží, železniční stanice a zastávky, železniční překladiště, nákladové obvody, depa</w:t>
            </w:r>
          </w:p>
        </w:tc>
        <w:tc>
          <w:tcPr>
            <w:tcW w:w="5035" w:type="dxa"/>
          </w:tcPr>
          <w:p>
            <w:pPr>
              <w:pStyle w:val="TableParagraph"/>
              <w:ind w:left="0"/>
              <w:rPr>
                <w:rFonts w:ascii="Times New Roman"/>
                <w:sz w:val="16"/>
              </w:rPr>
            </w:pPr>
          </w:p>
        </w:tc>
      </w:tr>
      <w:tr>
        <w:trPr>
          <w:trHeight w:val="241" w:hRule="atLeast"/>
        </w:trPr>
        <w:tc>
          <w:tcPr>
            <w:tcW w:w="4603" w:type="dxa"/>
            <w:shd w:val="clear" w:color="auto" w:fill="CCFFFF"/>
          </w:tcPr>
          <w:p>
            <w:pPr>
              <w:pStyle w:val="TableParagraph"/>
              <w:spacing w:line="171" w:lineRule="exact" w:before="51"/>
              <w:rPr>
                <w:b/>
                <w:sz w:val="16"/>
              </w:rPr>
            </w:pPr>
            <w:r>
              <w:rPr>
                <w:b/>
                <w:sz w:val="16"/>
              </w:rPr>
              <w:t>PŘÍPUSTNÉ VYUŽITÍ</w:t>
            </w:r>
          </w:p>
        </w:tc>
        <w:tc>
          <w:tcPr>
            <w:tcW w:w="5035" w:type="dxa"/>
            <w:shd w:val="clear" w:color="auto" w:fill="CCFFFF"/>
          </w:tcPr>
          <w:p>
            <w:pPr>
              <w:pStyle w:val="TableParagraph"/>
              <w:ind w:left="0"/>
              <w:rPr>
                <w:rFonts w:ascii="Times New Roman"/>
                <w:sz w:val="16"/>
              </w:rPr>
            </w:pPr>
          </w:p>
        </w:tc>
      </w:tr>
      <w:tr>
        <w:trPr>
          <w:trHeight w:val="239" w:hRule="atLeast"/>
        </w:trPr>
        <w:tc>
          <w:tcPr>
            <w:tcW w:w="4603" w:type="dxa"/>
          </w:tcPr>
          <w:p>
            <w:pPr>
              <w:pStyle w:val="TableParagraph"/>
              <w:spacing w:line="168" w:lineRule="exact" w:before="51"/>
              <w:ind w:left="155"/>
              <w:rPr>
                <w:b/>
                <w:sz w:val="16"/>
              </w:rPr>
            </w:pPr>
            <w:r>
              <w:rPr>
                <w:b/>
                <w:sz w:val="16"/>
              </w:rPr>
              <w:t>liniové stavby technické infrastruktury</w:t>
            </w:r>
          </w:p>
        </w:tc>
        <w:tc>
          <w:tcPr>
            <w:tcW w:w="5035" w:type="dxa"/>
          </w:tcPr>
          <w:p>
            <w:pPr>
              <w:pStyle w:val="TableParagraph"/>
              <w:ind w:left="0"/>
              <w:rPr>
                <w:rFonts w:ascii="Times New Roman"/>
                <w:sz w:val="16"/>
              </w:rPr>
            </w:pPr>
          </w:p>
        </w:tc>
      </w:tr>
      <w:tr>
        <w:trPr>
          <w:trHeight w:val="1389" w:hRule="atLeast"/>
        </w:trPr>
        <w:tc>
          <w:tcPr>
            <w:tcW w:w="4603" w:type="dxa"/>
            <w:vMerge w:val="restart"/>
            <w:shd w:val="clear" w:color="auto" w:fill="CCFFFF"/>
          </w:tcPr>
          <w:p>
            <w:pPr>
              <w:pStyle w:val="TableParagraph"/>
              <w:spacing w:before="53"/>
              <w:rPr>
                <w:b/>
                <w:sz w:val="16"/>
              </w:rPr>
            </w:pPr>
            <w:r>
              <w:rPr>
                <w:b/>
                <w:sz w:val="16"/>
              </w:rPr>
              <w:t>PODMÍNĚNĚ PŘÍPUSTNÉ VYUŽITÍ</w:t>
            </w:r>
          </w:p>
        </w:tc>
        <w:tc>
          <w:tcPr>
            <w:tcW w:w="5035" w:type="dxa"/>
            <w:shd w:val="clear" w:color="auto" w:fill="CCFFFF"/>
          </w:tcPr>
          <w:p>
            <w:pPr>
              <w:pStyle w:val="TableParagraph"/>
              <w:spacing w:before="53"/>
              <w:ind w:right="260"/>
              <w:rPr>
                <w:sz w:val="16"/>
              </w:rPr>
            </w:pPr>
            <w:r>
              <w:rPr>
                <w:b/>
                <w:sz w:val="16"/>
              </w:rPr>
              <w:t>obecné podmínky: </w:t>
            </w:r>
            <w:r>
              <w:rPr>
                <w:sz w:val="16"/>
              </w:rPr>
              <w:t>prokázat přiměřenost jeho dopadů ve vztahu k hlavnímu a přípustnému využití z hlediska:</w:t>
            </w:r>
          </w:p>
          <w:p>
            <w:pPr>
              <w:pStyle w:val="TableParagraph"/>
              <w:spacing w:before="60"/>
              <w:rPr>
                <w:sz w:val="16"/>
              </w:rPr>
            </w:pPr>
            <w:r>
              <w:rPr>
                <w:sz w:val="16"/>
              </w:rPr>
              <w:t>významu v širším území</w:t>
            </w:r>
          </w:p>
          <w:p>
            <w:pPr>
              <w:pStyle w:val="TableParagraph"/>
              <w:spacing w:line="316" w:lineRule="auto" w:before="56"/>
              <w:ind w:right="1496"/>
              <w:rPr>
                <w:sz w:val="16"/>
              </w:rPr>
            </w:pPr>
            <w:r>
              <w:rPr>
                <w:sz w:val="16"/>
              </w:rPr>
              <w:t>narušení kvality prostředí resp. pohody bydlení charakteru a kapacity napojení na infrastrukturu</w:t>
            </w:r>
          </w:p>
          <w:p>
            <w:pPr>
              <w:pStyle w:val="TableParagraph"/>
              <w:spacing w:line="163" w:lineRule="exact"/>
              <w:rPr>
                <w:sz w:val="16"/>
              </w:rPr>
            </w:pPr>
            <w:r>
              <w:rPr>
                <w:sz w:val="16"/>
              </w:rPr>
              <w:t>vyvolaných omezení ve smyslu hygienických a dalších předpisů</w:t>
            </w:r>
          </w:p>
        </w:tc>
      </w:tr>
      <w:tr>
        <w:trPr>
          <w:trHeight w:val="241" w:hRule="atLeast"/>
        </w:trPr>
        <w:tc>
          <w:tcPr>
            <w:tcW w:w="4603" w:type="dxa"/>
            <w:vMerge/>
            <w:tcBorders>
              <w:top w:val="nil"/>
            </w:tcBorders>
            <w:shd w:val="clear" w:color="auto" w:fill="CCFFFF"/>
          </w:tcPr>
          <w:p>
            <w:pPr>
              <w:rPr>
                <w:sz w:val="2"/>
                <w:szCs w:val="2"/>
              </w:rPr>
            </w:pPr>
          </w:p>
        </w:tc>
        <w:tc>
          <w:tcPr>
            <w:tcW w:w="5035" w:type="dxa"/>
            <w:shd w:val="clear" w:color="auto" w:fill="CCFFFF"/>
          </w:tcPr>
          <w:p>
            <w:pPr>
              <w:pStyle w:val="TableParagraph"/>
              <w:spacing w:line="171" w:lineRule="exact" w:before="51"/>
              <w:rPr>
                <w:b/>
                <w:sz w:val="16"/>
              </w:rPr>
            </w:pPr>
            <w:r>
              <w:rPr>
                <w:b/>
                <w:sz w:val="16"/>
              </w:rPr>
              <w:t>specifické podmínky:</w:t>
            </w:r>
          </w:p>
        </w:tc>
      </w:tr>
      <w:tr>
        <w:trPr>
          <w:trHeight w:val="479" w:hRule="atLeast"/>
        </w:trPr>
        <w:tc>
          <w:tcPr>
            <w:tcW w:w="4603" w:type="dxa"/>
          </w:tcPr>
          <w:p>
            <w:pPr>
              <w:pStyle w:val="TableParagraph"/>
              <w:spacing w:line="180" w:lineRule="atLeast" w:before="106"/>
              <w:ind w:right="175"/>
              <w:rPr>
                <w:sz w:val="16"/>
              </w:rPr>
            </w:pPr>
            <w:r>
              <w:rPr>
                <w:b/>
                <w:sz w:val="16"/>
              </w:rPr>
              <w:t>dopravní vybavení </w:t>
            </w:r>
            <w:r>
              <w:rPr>
                <w:sz w:val="16"/>
              </w:rPr>
              <w:t>- veřejná parkoviště a parkovací objekty OA a autobusů, terminály VDO</w:t>
            </w:r>
          </w:p>
        </w:tc>
        <w:tc>
          <w:tcPr>
            <w:tcW w:w="5035" w:type="dxa"/>
          </w:tcPr>
          <w:p>
            <w:pPr>
              <w:pStyle w:val="TableParagraph"/>
              <w:ind w:left="0"/>
              <w:rPr>
                <w:rFonts w:ascii="Times New Roman"/>
                <w:sz w:val="16"/>
              </w:rPr>
            </w:pPr>
          </w:p>
        </w:tc>
      </w:tr>
      <w:tr>
        <w:trPr>
          <w:trHeight w:val="666" w:hRule="atLeast"/>
        </w:trPr>
        <w:tc>
          <w:tcPr>
            <w:tcW w:w="4603" w:type="dxa"/>
          </w:tcPr>
          <w:p>
            <w:pPr>
              <w:pStyle w:val="TableParagraph"/>
              <w:spacing w:line="180" w:lineRule="atLeast" w:before="109"/>
              <w:ind w:right="593"/>
              <w:rPr>
                <w:sz w:val="16"/>
              </w:rPr>
            </w:pPr>
            <w:r>
              <w:rPr>
                <w:b/>
                <w:sz w:val="16"/>
              </w:rPr>
              <w:t>výroba </w:t>
            </w:r>
            <w:r>
              <w:rPr>
                <w:sz w:val="16"/>
              </w:rPr>
              <w:t>- zejména průmyslová výroba, výroba energie, sklady, překladiště, opravny, technické služby města, komerční administrativa</w:t>
            </w:r>
          </w:p>
        </w:tc>
        <w:tc>
          <w:tcPr>
            <w:tcW w:w="5035" w:type="dxa"/>
          </w:tcPr>
          <w:p>
            <w:pPr>
              <w:pStyle w:val="TableParagraph"/>
              <w:spacing w:before="111"/>
              <w:rPr>
                <w:sz w:val="16"/>
              </w:rPr>
            </w:pPr>
            <w:r>
              <w:rPr>
                <w:sz w:val="16"/>
              </w:rPr>
              <w:t>slouží zajištění účelného využití uvolňovaných částí dané plochy</w:t>
            </w:r>
          </w:p>
        </w:tc>
      </w:tr>
      <w:tr>
        <w:trPr>
          <w:trHeight w:val="849" w:hRule="atLeast"/>
        </w:trPr>
        <w:tc>
          <w:tcPr>
            <w:tcW w:w="4603" w:type="dxa"/>
          </w:tcPr>
          <w:p>
            <w:pPr>
              <w:pStyle w:val="TableParagraph"/>
              <w:spacing w:before="106"/>
              <w:ind w:right="351"/>
              <w:jc w:val="both"/>
              <w:rPr>
                <w:sz w:val="16"/>
              </w:rPr>
            </w:pPr>
            <w:r>
              <w:rPr>
                <w:b/>
                <w:sz w:val="16"/>
              </w:rPr>
              <w:t>občanské vybavení </w:t>
            </w:r>
            <w:r>
              <w:rPr>
                <w:sz w:val="16"/>
              </w:rPr>
              <w:t>- zejména předškolní výchova, věda, výzkum, kultura, sport, zdravotní služby, komerční služby, stravování, obchodní prodej, bezpečnost a obrana státu,</w:t>
            </w:r>
          </w:p>
          <w:p>
            <w:pPr>
              <w:pStyle w:val="TableParagraph"/>
              <w:spacing w:line="168" w:lineRule="exact" w:before="3"/>
              <w:jc w:val="both"/>
              <w:rPr>
                <w:sz w:val="16"/>
              </w:rPr>
            </w:pPr>
            <w:r>
              <w:rPr>
                <w:sz w:val="16"/>
              </w:rPr>
              <w:t>výstavnictví, zábavní aktivity</w:t>
            </w:r>
          </w:p>
        </w:tc>
        <w:tc>
          <w:tcPr>
            <w:tcW w:w="5035" w:type="dxa"/>
          </w:tcPr>
          <w:p>
            <w:pPr>
              <w:pStyle w:val="TableParagraph"/>
              <w:spacing w:before="109"/>
              <w:rPr>
                <w:sz w:val="16"/>
              </w:rPr>
            </w:pPr>
            <w:r>
              <w:rPr>
                <w:sz w:val="16"/>
              </w:rPr>
              <w:t>slouží zajištění účelného využití uvolňovaných částí dané plochy</w:t>
            </w:r>
          </w:p>
        </w:tc>
      </w:tr>
      <w:tr>
        <w:trPr>
          <w:trHeight w:val="294" w:hRule="atLeast"/>
        </w:trPr>
        <w:tc>
          <w:tcPr>
            <w:tcW w:w="4603" w:type="dxa"/>
          </w:tcPr>
          <w:p>
            <w:pPr>
              <w:pStyle w:val="TableParagraph"/>
              <w:spacing w:line="168" w:lineRule="exact" w:before="106"/>
              <w:rPr>
                <w:sz w:val="16"/>
              </w:rPr>
            </w:pPr>
            <w:r>
              <w:rPr>
                <w:b/>
                <w:sz w:val="16"/>
              </w:rPr>
              <w:t>ubytování </w:t>
            </w:r>
            <w:r>
              <w:rPr>
                <w:sz w:val="16"/>
              </w:rPr>
              <w:t>- zejména, ubytovny, motely, penziony</w:t>
            </w:r>
          </w:p>
        </w:tc>
        <w:tc>
          <w:tcPr>
            <w:tcW w:w="5035" w:type="dxa"/>
          </w:tcPr>
          <w:p>
            <w:pPr>
              <w:pStyle w:val="TableParagraph"/>
              <w:spacing w:line="166" w:lineRule="exact" w:before="109"/>
              <w:rPr>
                <w:sz w:val="16"/>
              </w:rPr>
            </w:pPr>
            <w:r>
              <w:rPr>
                <w:sz w:val="16"/>
              </w:rPr>
              <w:t>slouží bezprostředně k zajištění hlavního využití dané plochy</w:t>
            </w:r>
          </w:p>
        </w:tc>
      </w:tr>
      <w:tr>
        <w:trPr>
          <w:trHeight w:val="594" w:hRule="atLeast"/>
        </w:trPr>
        <w:tc>
          <w:tcPr>
            <w:tcW w:w="4603" w:type="dxa"/>
          </w:tcPr>
          <w:p>
            <w:pPr>
              <w:pStyle w:val="TableParagraph"/>
              <w:spacing w:before="109"/>
              <w:ind w:right="576"/>
              <w:rPr>
                <w:b/>
                <w:sz w:val="16"/>
              </w:rPr>
            </w:pPr>
            <w:r>
              <w:rPr>
                <w:b/>
                <w:sz w:val="16"/>
              </w:rPr>
              <w:t>plošně nenáročná zařízení technické infrastruktury nadřazených systémů</w:t>
            </w:r>
          </w:p>
        </w:tc>
        <w:tc>
          <w:tcPr>
            <w:tcW w:w="5035" w:type="dxa"/>
          </w:tcPr>
          <w:p>
            <w:pPr>
              <w:pStyle w:val="TableParagraph"/>
              <w:spacing w:before="111"/>
              <w:rPr>
                <w:sz w:val="16"/>
              </w:rPr>
            </w:pPr>
            <w:r>
              <w:rPr>
                <w:sz w:val="16"/>
              </w:rPr>
              <w:t>plocha nepřesáhne 300 m</w:t>
            </w:r>
            <w:r>
              <w:rPr>
                <w:sz w:val="16"/>
                <w:vertAlign w:val="superscript"/>
              </w:rPr>
              <w:t>2</w:t>
            </w:r>
          </w:p>
          <w:p>
            <w:pPr>
              <w:pStyle w:val="TableParagraph"/>
              <w:spacing w:line="168" w:lineRule="exact" w:before="111"/>
              <w:rPr>
                <w:sz w:val="16"/>
              </w:rPr>
            </w:pPr>
            <w:r>
              <w:rPr>
                <w:sz w:val="16"/>
              </w:rPr>
              <w:t>souvisí bezprostředně s provozem města</w:t>
            </w:r>
          </w:p>
        </w:tc>
      </w:tr>
      <w:tr>
        <w:trPr>
          <w:trHeight w:val="5101" w:hRule="atLeast"/>
        </w:trPr>
        <w:tc>
          <w:tcPr>
            <w:tcW w:w="4603" w:type="dxa"/>
          </w:tcPr>
          <w:p>
            <w:pPr>
              <w:pStyle w:val="TableParagraph"/>
              <w:spacing w:before="106"/>
              <w:rPr>
                <w:b/>
                <w:sz w:val="16"/>
              </w:rPr>
            </w:pPr>
            <w:r>
              <w:rPr>
                <w:b/>
                <w:sz w:val="16"/>
              </w:rPr>
              <w:t>základní vybavenost území</w:t>
            </w:r>
          </w:p>
          <w:p>
            <w:pPr>
              <w:pStyle w:val="TableParagraph"/>
              <w:spacing w:before="61"/>
              <w:ind w:right="450"/>
              <w:rPr>
                <w:sz w:val="16"/>
              </w:rPr>
            </w:pPr>
            <w:r>
              <w:rPr>
                <w:sz w:val="16"/>
              </w:rPr>
              <w:t>terénní úpravy kromě těžebních prací a skládek odpadů, opěrné zdi, propustky a přemostění, oplocení</w:t>
            </w:r>
          </w:p>
          <w:p>
            <w:pPr>
              <w:pStyle w:val="TableParagraph"/>
              <w:spacing w:before="57"/>
              <w:ind w:right="189" w:hanging="1"/>
              <w:rPr>
                <w:sz w:val="16"/>
              </w:rPr>
            </w:pPr>
            <w:r>
              <w:rPr>
                <w:sz w:val="16"/>
              </w:rPr>
              <w:t>vodní toky a vodní plochy do 300 m</w:t>
            </w:r>
            <w:r>
              <w:rPr>
                <w:sz w:val="16"/>
                <w:vertAlign w:val="superscript"/>
              </w:rPr>
              <w:t>2</w:t>
            </w:r>
            <w:r>
              <w:rPr>
                <w:sz w:val="16"/>
                <w:vertAlign w:val="baseline"/>
              </w:rPr>
              <w:t>, parkové, sadovnické a zahradnické úpravy, pobytové louky, plošné a liniové prvky ochranné a doprovodné zeleně vč. biokoridorů ÚSES a IP</w:t>
            </w:r>
          </w:p>
          <w:p>
            <w:pPr>
              <w:pStyle w:val="TableParagraph"/>
              <w:spacing w:before="58"/>
              <w:ind w:right="139" w:hanging="1"/>
              <w:rPr>
                <w:sz w:val="16"/>
              </w:rPr>
            </w:pPr>
            <w:r>
              <w:rPr>
                <w:sz w:val="16"/>
              </w:rPr>
              <w:t>veřejná prostranství - místní komunikace zpřístupňující objekty a pozemky v ploše, komunikace, pobytové prostory s vyloučením motorové dopravy, zastávky VDO, parkování</w:t>
            </w:r>
            <w:r>
              <w:rPr>
                <w:spacing w:val="-22"/>
                <w:sz w:val="16"/>
              </w:rPr>
              <w:t> </w:t>
            </w:r>
            <w:r>
              <w:rPr>
                <w:sz w:val="16"/>
              </w:rPr>
              <w:t>OA</w:t>
            </w:r>
          </w:p>
          <w:p>
            <w:pPr>
              <w:pStyle w:val="TableParagraph"/>
              <w:spacing w:before="57"/>
              <w:ind w:right="156"/>
              <w:rPr>
                <w:sz w:val="16"/>
              </w:rPr>
            </w:pPr>
            <w:r>
              <w:rPr>
                <w:sz w:val="16"/>
              </w:rPr>
              <w:t>technická infrastruktura - liniové stavby a plošně nenáročná zařízení vodovodů, kanalizace, produktovodů, energetických zařízení vč. obnovitelných zdrojů, elektronických</w:t>
            </w:r>
            <w:r>
              <w:rPr>
                <w:spacing w:val="-22"/>
                <w:sz w:val="16"/>
              </w:rPr>
              <w:t> </w:t>
            </w:r>
            <w:r>
              <w:rPr>
                <w:sz w:val="16"/>
              </w:rPr>
              <w:t>komunikací</w:t>
            </w:r>
          </w:p>
          <w:p>
            <w:pPr>
              <w:pStyle w:val="TableParagraph"/>
              <w:spacing w:before="55"/>
              <w:ind w:right="361"/>
              <w:rPr>
                <w:sz w:val="16"/>
              </w:rPr>
            </w:pPr>
            <w:r>
              <w:rPr>
                <w:sz w:val="16"/>
              </w:rPr>
              <w:t>správa a údržba, technologická zařízení, přístřešky pro skladování a manipulaci nesloužící pro hořlavé, chemické látky, které mohou způsobit znečištění životního prostředí</w:t>
            </w:r>
          </w:p>
          <w:p>
            <w:pPr>
              <w:pStyle w:val="TableParagraph"/>
              <w:spacing w:before="58"/>
              <w:ind w:right="610"/>
              <w:rPr>
                <w:sz w:val="16"/>
              </w:rPr>
            </w:pPr>
            <w:r>
              <w:rPr>
                <w:sz w:val="16"/>
              </w:rPr>
              <w:t>rekreace - hřiště, mobiliář, přístřešky pro obsluhu, občerstvení a hygienu, stavby drobné architektury bez pobytových místností</w:t>
            </w:r>
          </w:p>
          <w:p>
            <w:pPr>
              <w:pStyle w:val="TableParagraph"/>
              <w:spacing w:before="58"/>
              <w:ind w:right="140"/>
              <w:rPr>
                <w:sz w:val="16"/>
              </w:rPr>
            </w:pPr>
            <w:r>
              <w:rPr>
                <w:sz w:val="16"/>
              </w:rPr>
              <w:t>pěstitelská a chovatelská činnost - skleníky, kotce, přístřešky pro hospodaření</w:t>
            </w:r>
          </w:p>
          <w:p>
            <w:pPr>
              <w:pStyle w:val="TableParagraph"/>
              <w:spacing w:line="312" w:lineRule="auto" w:before="57"/>
              <w:ind w:right="726" w:hanging="1"/>
              <w:rPr>
                <w:sz w:val="16"/>
              </w:rPr>
            </w:pPr>
            <w:r>
              <w:rPr>
                <w:sz w:val="16"/>
              </w:rPr>
              <w:t>informační zařízení do 8 m</w:t>
            </w:r>
            <w:r>
              <w:rPr>
                <w:sz w:val="16"/>
                <w:vertAlign w:val="superscript"/>
              </w:rPr>
              <w:t>2</w:t>
            </w:r>
            <w:r>
              <w:rPr>
                <w:sz w:val="16"/>
                <w:vertAlign w:val="baseline"/>
              </w:rPr>
              <w:t> informační plochy ochrana před povodněmi, erozí, hlukem, exhalacemi</w:t>
            </w:r>
          </w:p>
          <w:p>
            <w:pPr>
              <w:pStyle w:val="TableParagraph"/>
              <w:spacing w:line="182" w:lineRule="exact" w:before="10"/>
              <w:ind w:right="201"/>
              <w:rPr>
                <w:sz w:val="16"/>
              </w:rPr>
            </w:pPr>
            <w:r>
              <w:rPr>
                <w:sz w:val="16"/>
              </w:rPr>
              <w:t>integrované stavby a zařízení: bydlení správce, občanské vybavení, nerušící výroba, chovatelská a pěstitelská činnost</w:t>
            </w:r>
          </w:p>
        </w:tc>
        <w:tc>
          <w:tcPr>
            <w:tcW w:w="5035" w:type="dxa"/>
          </w:tcPr>
          <w:p>
            <w:pPr>
              <w:pStyle w:val="TableParagraph"/>
              <w:spacing w:before="53"/>
              <w:ind w:right="918"/>
              <w:rPr>
                <w:sz w:val="16"/>
              </w:rPr>
            </w:pPr>
            <w:r>
              <w:rPr>
                <w:sz w:val="16"/>
              </w:rPr>
              <w:t>slouží bezprostředně k zajištění hlavního, přípustného a podmíněně přípustného využití dané plochy</w:t>
            </w:r>
          </w:p>
          <w:p>
            <w:pPr>
              <w:pStyle w:val="TableParagraph"/>
              <w:spacing w:before="57"/>
              <w:ind w:right="223"/>
              <w:rPr>
                <w:sz w:val="16"/>
              </w:rPr>
            </w:pPr>
            <w:r>
              <w:rPr>
                <w:sz w:val="16"/>
              </w:rPr>
              <w:t>budou uplatněny podmínky prostorového uspořádání odpovídající podmínkám prostorového uspořádání dané plochy</w:t>
            </w:r>
          </w:p>
        </w:tc>
      </w:tr>
      <w:tr>
        <w:trPr>
          <w:trHeight w:val="297" w:hRule="atLeast"/>
        </w:trPr>
        <w:tc>
          <w:tcPr>
            <w:tcW w:w="4603" w:type="dxa"/>
            <w:shd w:val="clear" w:color="auto" w:fill="CCFFFF"/>
          </w:tcPr>
          <w:p>
            <w:pPr>
              <w:pStyle w:val="TableParagraph"/>
              <w:spacing w:line="171" w:lineRule="exact" w:before="106"/>
              <w:rPr>
                <w:b/>
                <w:sz w:val="16"/>
              </w:rPr>
            </w:pPr>
            <w:r>
              <w:rPr>
                <w:b/>
                <w:sz w:val="16"/>
              </w:rPr>
              <w:t>NEPŘÍPUSTNÉ VYUŽITÍ</w:t>
            </w:r>
          </w:p>
        </w:tc>
        <w:tc>
          <w:tcPr>
            <w:tcW w:w="5035" w:type="dxa"/>
            <w:shd w:val="clear" w:color="auto" w:fill="CCFFFF"/>
          </w:tcPr>
          <w:p>
            <w:pPr>
              <w:pStyle w:val="TableParagraph"/>
              <w:ind w:left="0"/>
              <w:rPr>
                <w:rFonts w:ascii="Times New Roman"/>
                <w:sz w:val="16"/>
              </w:rPr>
            </w:pPr>
          </w:p>
        </w:tc>
      </w:tr>
      <w:tr>
        <w:trPr>
          <w:trHeight w:val="1389" w:hRule="atLeast"/>
        </w:trPr>
        <w:tc>
          <w:tcPr>
            <w:tcW w:w="4603" w:type="dxa"/>
          </w:tcPr>
          <w:p>
            <w:pPr>
              <w:pStyle w:val="TableParagraph"/>
              <w:spacing w:before="106"/>
              <w:rPr>
                <w:b/>
                <w:sz w:val="16"/>
              </w:rPr>
            </w:pPr>
            <w:r>
              <w:rPr>
                <w:b/>
                <w:sz w:val="16"/>
              </w:rPr>
              <w:t>zejména využití, u kterého existuje riziko, že:</w:t>
            </w:r>
          </w:p>
          <w:p>
            <w:pPr>
              <w:pStyle w:val="TableParagraph"/>
              <w:spacing w:before="61"/>
              <w:rPr>
                <w:sz w:val="16"/>
              </w:rPr>
            </w:pPr>
            <w:r>
              <w:rPr>
                <w:sz w:val="16"/>
              </w:rPr>
              <w:t>naruší kvalitu prostředí plochy dopravní infrastruktury-drážní</w:t>
            </w:r>
          </w:p>
          <w:p>
            <w:pPr>
              <w:pStyle w:val="TableParagraph"/>
              <w:spacing w:before="56"/>
              <w:ind w:right="201"/>
              <w:rPr>
                <w:sz w:val="16"/>
              </w:rPr>
            </w:pPr>
            <w:r>
              <w:rPr>
                <w:sz w:val="16"/>
              </w:rPr>
              <w:t>jeho nároky na kvalitu prostředí resp. pohodu bydlení omezí hlavní funkci plochy dopravní infrastruktury-drážní</w:t>
            </w:r>
          </w:p>
          <w:p>
            <w:pPr>
              <w:pStyle w:val="TableParagraph"/>
              <w:spacing w:line="180" w:lineRule="atLeast" w:before="57"/>
              <w:ind w:right="237"/>
              <w:rPr>
                <w:sz w:val="16"/>
              </w:rPr>
            </w:pPr>
            <w:r>
              <w:rPr>
                <w:sz w:val="16"/>
              </w:rPr>
              <w:t>naruší celistvost a funkčnost plochy dopravní infrastruktury- drážní</w:t>
            </w:r>
          </w:p>
        </w:tc>
        <w:tc>
          <w:tcPr>
            <w:tcW w:w="5035" w:type="dxa"/>
          </w:tcPr>
          <w:p>
            <w:pPr>
              <w:pStyle w:val="TableParagraph"/>
              <w:ind w:left="0"/>
              <w:rPr>
                <w:rFonts w:ascii="Times New Roman"/>
                <w:sz w:val="16"/>
              </w:rPr>
            </w:pPr>
          </w:p>
        </w:tc>
      </w:tr>
    </w:tbl>
    <w:p>
      <w:pPr>
        <w:spacing w:after="0"/>
        <w:rPr>
          <w:rFonts w:ascii="Times New Roman"/>
          <w:sz w:val="16"/>
        </w:rPr>
        <w:sectPr>
          <w:pgSz w:w="11900" w:h="16840"/>
          <w:pgMar w:header="561" w:footer="582" w:top="760" w:bottom="780" w:left="960" w:right="980"/>
        </w:sectPr>
      </w:pPr>
    </w:p>
    <w:p>
      <w:pPr>
        <w:pStyle w:val="BodyText"/>
        <w:ind w:left="0" w:firstLine="0"/>
        <w:jc w:val="left"/>
        <w:rPr>
          <w:b/>
          <w:sz w:val="20"/>
        </w:rPr>
      </w:pPr>
    </w:p>
    <w:p>
      <w:pPr>
        <w:pStyle w:val="BodyText"/>
        <w:spacing w:before="7"/>
        <w:ind w:left="0" w:firstLine="0"/>
        <w:jc w:val="left"/>
        <w:rPr>
          <w:b/>
          <w:sz w:val="11"/>
        </w:r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03"/>
        <w:gridCol w:w="5035"/>
      </w:tblGrid>
      <w:tr>
        <w:trPr>
          <w:trHeight w:val="563" w:hRule="atLeast"/>
        </w:trPr>
        <w:tc>
          <w:tcPr>
            <w:tcW w:w="4603" w:type="dxa"/>
            <w:shd w:val="clear" w:color="auto" w:fill="32CCCC"/>
          </w:tcPr>
          <w:p>
            <w:pPr>
              <w:pStyle w:val="TableParagraph"/>
              <w:spacing w:line="252" w:lineRule="exact" w:before="60"/>
              <w:ind w:right="141"/>
              <w:rPr>
                <w:b/>
                <w:sz w:val="22"/>
              </w:rPr>
            </w:pPr>
            <w:r>
              <w:rPr>
                <w:b/>
                <w:sz w:val="22"/>
              </w:rPr>
              <w:t>PLOCHY DOPRAVNÍ INFRASTRUKTURY- LETECKÉ</w:t>
            </w:r>
          </w:p>
        </w:tc>
        <w:tc>
          <w:tcPr>
            <w:tcW w:w="5035" w:type="dxa"/>
            <w:shd w:val="clear" w:color="auto" w:fill="32CCCC"/>
          </w:tcPr>
          <w:p>
            <w:pPr>
              <w:pStyle w:val="TableParagraph"/>
              <w:spacing w:before="55"/>
              <w:rPr>
                <w:b/>
                <w:sz w:val="22"/>
              </w:rPr>
            </w:pPr>
            <w:r>
              <w:rPr>
                <w:b/>
                <w:w w:val="100"/>
                <w:sz w:val="22"/>
              </w:rPr>
              <w:t>F</w:t>
            </w:r>
          </w:p>
        </w:tc>
      </w:tr>
      <w:tr>
        <w:trPr>
          <w:trHeight w:val="241" w:hRule="atLeast"/>
        </w:trPr>
        <w:tc>
          <w:tcPr>
            <w:tcW w:w="4603" w:type="dxa"/>
            <w:shd w:val="clear" w:color="auto" w:fill="CCFFFF"/>
          </w:tcPr>
          <w:p>
            <w:pPr>
              <w:pStyle w:val="TableParagraph"/>
              <w:spacing w:line="168" w:lineRule="exact" w:before="53"/>
              <w:rPr>
                <w:sz w:val="16"/>
              </w:rPr>
            </w:pPr>
            <w:r>
              <w:rPr>
                <w:sz w:val="16"/>
              </w:rPr>
              <w:t>pozemky pro stavby, zařízení, úpravy, kultury, činnosti</w:t>
            </w:r>
          </w:p>
        </w:tc>
        <w:tc>
          <w:tcPr>
            <w:tcW w:w="5035" w:type="dxa"/>
            <w:shd w:val="clear" w:color="auto" w:fill="CCFFFF"/>
          </w:tcPr>
          <w:p>
            <w:pPr>
              <w:pStyle w:val="TableParagraph"/>
              <w:ind w:left="0"/>
              <w:rPr>
                <w:rFonts w:ascii="Times New Roman"/>
                <w:sz w:val="16"/>
              </w:rPr>
            </w:pPr>
          </w:p>
        </w:tc>
      </w:tr>
      <w:tr>
        <w:trPr>
          <w:trHeight w:val="239" w:hRule="atLeast"/>
        </w:trPr>
        <w:tc>
          <w:tcPr>
            <w:tcW w:w="4603" w:type="dxa"/>
            <w:shd w:val="clear" w:color="auto" w:fill="CCFFFF"/>
          </w:tcPr>
          <w:p>
            <w:pPr>
              <w:pStyle w:val="TableParagraph"/>
              <w:spacing w:line="168" w:lineRule="exact" w:before="51"/>
              <w:rPr>
                <w:b/>
                <w:sz w:val="16"/>
              </w:rPr>
            </w:pPr>
            <w:r>
              <w:rPr>
                <w:b/>
                <w:sz w:val="16"/>
              </w:rPr>
              <w:t>HLAVNÍ VYUŽITÍ</w:t>
            </w:r>
          </w:p>
        </w:tc>
        <w:tc>
          <w:tcPr>
            <w:tcW w:w="5035" w:type="dxa"/>
            <w:shd w:val="clear" w:color="auto" w:fill="CCFFFF"/>
          </w:tcPr>
          <w:p>
            <w:pPr>
              <w:pStyle w:val="TableParagraph"/>
              <w:ind w:left="0"/>
              <w:rPr>
                <w:rFonts w:ascii="Times New Roman"/>
                <w:sz w:val="16"/>
              </w:rPr>
            </w:pPr>
          </w:p>
        </w:tc>
      </w:tr>
      <w:tr>
        <w:trPr>
          <w:trHeight w:val="609" w:hRule="atLeast"/>
        </w:trPr>
        <w:tc>
          <w:tcPr>
            <w:tcW w:w="4603" w:type="dxa"/>
          </w:tcPr>
          <w:p>
            <w:pPr>
              <w:pStyle w:val="TableParagraph"/>
              <w:spacing w:line="180" w:lineRule="atLeast" w:before="53"/>
              <w:ind w:left="155" w:right="335"/>
              <w:rPr>
                <w:sz w:val="16"/>
              </w:rPr>
            </w:pPr>
            <w:r>
              <w:rPr>
                <w:b/>
                <w:sz w:val="16"/>
              </w:rPr>
              <w:t>letecká doprava </w:t>
            </w:r>
            <w:r>
              <w:rPr>
                <w:sz w:val="16"/>
              </w:rPr>
              <w:t>- zejména přistávací dráhy, ranveje, hangáry, heliporty, odbavovací a zabezpečovací zařízení, překladiště</w:t>
            </w:r>
          </w:p>
        </w:tc>
        <w:tc>
          <w:tcPr>
            <w:tcW w:w="5035" w:type="dxa"/>
          </w:tcPr>
          <w:p>
            <w:pPr>
              <w:pStyle w:val="TableParagraph"/>
              <w:ind w:left="0"/>
              <w:rPr>
                <w:rFonts w:ascii="Times New Roman"/>
                <w:sz w:val="16"/>
              </w:rPr>
            </w:pPr>
          </w:p>
        </w:tc>
      </w:tr>
      <w:tr>
        <w:trPr>
          <w:trHeight w:val="241" w:hRule="atLeast"/>
        </w:trPr>
        <w:tc>
          <w:tcPr>
            <w:tcW w:w="4603" w:type="dxa"/>
            <w:shd w:val="clear" w:color="auto" w:fill="CCFFFF"/>
          </w:tcPr>
          <w:p>
            <w:pPr>
              <w:pStyle w:val="TableParagraph"/>
              <w:spacing w:line="171" w:lineRule="exact" w:before="51"/>
              <w:rPr>
                <w:b/>
                <w:sz w:val="16"/>
              </w:rPr>
            </w:pPr>
            <w:r>
              <w:rPr>
                <w:b/>
                <w:sz w:val="16"/>
              </w:rPr>
              <w:t>PŘÍPUSTNÉ VYUŽITÍ</w:t>
            </w:r>
          </w:p>
        </w:tc>
        <w:tc>
          <w:tcPr>
            <w:tcW w:w="5035" w:type="dxa"/>
            <w:shd w:val="clear" w:color="auto" w:fill="CCFFFF"/>
          </w:tcPr>
          <w:p>
            <w:pPr>
              <w:pStyle w:val="TableParagraph"/>
              <w:ind w:left="0"/>
              <w:rPr>
                <w:rFonts w:ascii="Times New Roman"/>
                <w:sz w:val="16"/>
              </w:rPr>
            </w:pPr>
          </w:p>
        </w:tc>
      </w:tr>
      <w:tr>
        <w:trPr>
          <w:trHeight w:val="239" w:hRule="atLeast"/>
        </w:trPr>
        <w:tc>
          <w:tcPr>
            <w:tcW w:w="4603" w:type="dxa"/>
          </w:tcPr>
          <w:p>
            <w:pPr>
              <w:pStyle w:val="TableParagraph"/>
              <w:spacing w:line="168" w:lineRule="exact" w:before="51"/>
              <w:ind w:left="155"/>
              <w:rPr>
                <w:b/>
                <w:sz w:val="16"/>
              </w:rPr>
            </w:pPr>
            <w:r>
              <w:rPr>
                <w:b/>
                <w:w w:val="100"/>
                <w:sz w:val="16"/>
              </w:rPr>
              <w:t>-</w:t>
            </w:r>
          </w:p>
        </w:tc>
        <w:tc>
          <w:tcPr>
            <w:tcW w:w="5035" w:type="dxa"/>
          </w:tcPr>
          <w:p>
            <w:pPr>
              <w:pStyle w:val="TableParagraph"/>
              <w:ind w:left="0"/>
              <w:rPr>
                <w:rFonts w:ascii="Times New Roman"/>
                <w:sz w:val="16"/>
              </w:rPr>
            </w:pPr>
          </w:p>
        </w:tc>
      </w:tr>
      <w:tr>
        <w:trPr>
          <w:trHeight w:val="1389" w:hRule="atLeast"/>
        </w:trPr>
        <w:tc>
          <w:tcPr>
            <w:tcW w:w="4603" w:type="dxa"/>
            <w:vMerge w:val="restart"/>
            <w:shd w:val="clear" w:color="auto" w:fill="CCFFFF"/>
          </w:tcPr>
          <w:p>
            <w:pPr>
              <w:pStyle w:val="TableParagraph"/>
              <w:spacing w:before="53"/>
              <w:rPr>
                <w:b/>
                <w:sz w:val="16"/>
              </w:rPr>
            </w:pPr>
            <w:r>
              <w:rPr>
                <w:b/>
                <w:sz w:val="16"/>
              </w:rPr>
              <w:t>PODMÍNĚNĚ PŘÍPUSTNÉ VYUŽITÍ</w:t>
            </w:r>
          </w:p>
        </w:tc>
        <w:tc>
          <w:tcPr>
            <w:tcW w:w="5035" w:type="dxa"/>
            <w:shd w:val="clear" w:color="auto" w:fill="CCFFFF"/>
          </w:tcPr>
          <w:p>
            <w:pPr>
              <w:pStyle w:val="TableParagraph"/>
              <w:spacing w:before="53"/>
              <w:ind w:right="260"/>
              <w:rPr>
                <w:sz w:val="16"/>
              </w:rPr>
            </w:pPr>
            <w:r>
              <w:rPr>
                <w:b/>
                <w:sz w:val="16"/>
              </w:rPr>
              <w:t>obecné podmínky: </w:t>
            </w:r>
            <w:r>
              <w:rPr>
                <w:sz w:val="16"/>
              </w:rPr>
              <w:t>prokázat přiměřenost jeho dopadů ve vztahu k hlavnímu a přípustnému využití z hlediska:</w:t>
            </w:r>
          </w:p>
          <w:p>
            <w:pPr>
              <w:pStyle w:val="TableParagraph"/>
              <w:spacing w:before="60"/>
              <w:rPr>
                <w:sz w:val="16"/>
              </w:rPr>
            </w:pPr>
            <w:r>
              <w:rPr>
                <w:sz w:val="16"/>
              </w:rPr>
              <w:t>významu v širším území</w:t>
            </w:r>
          </w:p>
          <w:p>
            <w:pPr>
              <w:pStyle w:val="TableParagraph"/>
              <w:spacing w:line="316" w:lineRule="auto" w:before="56"/>
              <w:ind w:right="1496"/>
              <w:rPr>
                <w:sz w:val="16"/>
              </w:rPr>
            </w:pPr>
            <w:r>
              <w:rPr>
                <w:sz w:val="16"/>
              </w:rPr>
              <w:t>narušení kvality prostředí resp. pohody bydlení charakteru a kapacity napojení na infrastrukturu</w:t>
            </w:r>
          </w:p>
          <w:p>
            <w:pPr>
              <w:pStyle w:val="TableParagraph"/>
              <w:spacing w:line="163" w:lineRule="exact"/>
              <w:rPr>
                <w:sz w:val="16"/>
              </w:rPr>
            </w:pPr>
            <w:r>
              <w:rPr>
                <w:sz w:val="16"/>
              </w:rPr>
              <w:t>vyvolaných omezení ve smyslu hygienických a dalších předpisů</w:t>
            </w:r>
          </w:p>
        </w:tc>
      </w:tr>
      <w:tr>
        <w:trPr>
          <w:trHeight w:val="241" w:hRule="atLeast"/>
        </w:trPr>
        <w:tc>
          <w:tcPr>
            <w:tcW w:w="4603" w:type="dxa"/>
            <w:vMerge/>
            <w:tcBorders>
              <w:top w:val="nil"/>
            </w:tcBorders>
            <w:shd w:val="clear" w:color="auto" w:fill="CCFFFF"/>
          </w:tcPr>
          <w:p>
            <w:pPr>
              <w:rPr>
                <w:sz w:val="2"/>
                <w:szCs w:val="2"/>
              </w:rPr>
            </w:pPr>
          </w:p>
        </w:tc>
        <w:tc>
          <w:tcPr>
            <w:tcW w:w="5035" w:type="dxa"/>
            <w:shd w:val="clear" w:color="auto" w:fill="CCFFFF"/>
          </w:tcPr>
          <w:p>
            <w:pPr>
              <w:pStyle w:val="TableParagraph"/>
              <w:spacing w:line="171" w:lineRule="exact" w:before="51"/>
              <w:rPr>
                <w:b/>
                <w:sz w:val="16"/>
              </w:rPr>
            </w:pPr>
            <w:r>
              <w:rPr>
                <w:b/>
                <w:sz w:val="16"/>
              </w:rPr>
              <w:t>specifické podmínky:</w:t>
            </w:r>
          </w:p>
        </w:tc>
      </w:tr>
      <w:tr>
        <w:trPr>
          <w:trHeight w:val="297" w:hRule="atLeast"/>
        </w:trPr>
        <w:tc>
          <w:tcPr>
            <w:tcW w:w="4603" w:type="dxa"/>
          </w:tcPr>
          <w:p>
            <w:pPr>
              <w:pStyle w:val="TableParagraph"/>
              <w:spacing w:line="171" w:lineRule="exact" w:before="106"/>
              <w:rPr>
                <w:sz w:val="16"/>
              </w:rPr>
            </w:pPr>
            <w:r>
              <w:rPr>
                <w:b/>
                <w:sz w:val="16"/>
              </w:rPr>
              <w:t>ubytování </w:t>
            </w:r>
            <w:r>
              <w:rPr>
                <w:sz w:val="16"/>
              </w:rPr>
              <w:t>- zejména, ubytovny, motely, penziony</w:t>
            </w:r>
          </w:p>
        </w:tc>
        <w:tc>
          <w:tcPr>
            <w:tcW w:w="5035" w:type="dxa"/>
          </w:tcPr>
          <w:p>
            <w:pPr>
              <w:pStyle w:val="TableParagraph"/>
              <w:spacing w:line="168" w:lineRule="exact" w:before="109"/>
              <w:rPr>
                <w:sz w:val="16"/>
              </w:rPr>
            </w:pPr>
            <w:r>
              <w:rPr>
                <w:sz w:val="16"/>
              </w:rPr>
              <w:t>slouží bezprostředně k zajištění hlavního využití dané plochy</w:t>
            </w:r>
          </w:p>
        </w:tc>
      </w:tr>
      <w:tr>
        <w:trPr>
          <w:trHeight w:val="664" w:hRule="atLeast"/>
        </w:trPr>
        <w:tc>
          <w:tcPr>
            <w:tcW w:w="4603" w:type="dxa"/>
          </w:tcPr>
          <w:p>
            <w:pPr>
              <w:pStyle w:val="TableParagraph"/>
              <w:spacing w:before="106"/>
              <w:rPr>
                <w:sz w:val="16"/>
              </w:rPr>
            </w:pPr>
            <w:r>
              <w:rPr>
                <w:b/>
                <w:sz w:val="16"/>
              </w:rPr>
              <w:t>občanské vybavení </w:t>
            </w:r>
            <w:r>
              <w:rPr>
                <w:sz w:val="16"/>
              </w:rPr>
              <w:t>- zejména věda, výzkum, kultura, sport,</w:t>
            </w:r>
          </w:p>
          <w:p>
            <w:pPr>
              <w:pStyle w:val="TableParagraph"/>
              <w:spacing w:line="182" w:lineRule="exact" w:before="8"/>
              <w:ind w:right="468"/>
              <w:rPr>
                <w:sz w:val="16"/>
              </w:rPr>
            </w:pPr>
            <w:r>
              <w:rPr>
                <w:sz w:val="16"/>
              </w:rPr>
              <w:t>zdravotní služby, komerční služby, stravování, obchodní prodej, bezpečnost a obrana státu</w:t>
            </w:r>
          </w:p>
        </w:tc>
        <w:tc>
          <w:tcPr>
            <w:tcW w:w="5035" w:type="dxa"/>
          </w:tcPr>
          <w:p>
            <w:pPr>
              <w:pStyle w:val="TableParagraph"/>
              <w:spacing w:before="109"/>
              <w:rPr>
                <w:sz w:val="16"/>
              </w:rPr>
            </w:pPr>
            <w:r>
              <w:rPr>
                <w:sz w:val="16"/>
              </w:rPr>
              <w:t>slouží bezprostředně k zajištění hlavního využití dané plochy</w:t>
            </w:r>
          </w:p>
        </w:tc>
      </w:tr>
      <w:tr>
        <w:trPr>
          <w:trHeight w:val="481" w:hRule="atLeast"/>
        </w:trPr>
        <w:tc>
          <w:tcPr>
            <w:tcW w:w="4603" w:type="dxa"/>
          </w:tcPr>
          <w:p>
            <w:pPr>
              <w:pStyle w:val="TableParagraph"/>
              <w:spacing w:line="180" w:lineRule="atLeast" w:before="106"/>
              <w:ind w:right="175"/>
              <w:rPr>
                <w:sz w:val="16"/>
              </w:rPr>
            </w:pPr>
            <w:r>
              <w:rPr>
                <w:b/>
                <w:sz w:val="16"/>
              </w:rPr>
              <w:t>dopravní vybavení </w:t>
            </w:r>
            <w:r>
              <w:rPr>
                <w:sz w:val="16"/>
              </w:rPr>
              <w:t>- veřejná parkoviště a parkovací objekty OA a autobusů, terminály VDO</w:t>
            </w:r>
          </w:p>
        </w:tc>
        <w:tc>
          <w:tcPr>
            <w:tcW w:w="5035" w:type="dxa"/>
          </w:tcPr>
          <w:p>
            <w:pPr>
              <w:pStyle w:val="TableParagraph"/>
              <w:ind w:left="0"/>
              <w:rPr>
                <w:rFonts w:ascii="Times New Roman"/>
                <w:sz w:val="16"/>
              </w:rPr>
            </w:pPr>
          </w:p>
        </w:tc>
      </w:tr>
      <w:tr>
        <w:trPr>
          <w:trHeight w:val="479" w:hRule="atLeast"/>
        </w:trPr>
        <w:tc>
          <w:tcPr>
            <w:tcW w:w="4603" w:type="dxa"/>
          </w:tcPr>
          <w:p>
            <w:pPr>
              <w:pStyle w:val="TableParagraph"/>
              <w:spacing w:line="180" w:lineRule="atLeast" w:before="106"/>
              <w:rPr>
                <w:b/>
                <w:sz w:val="16"/>
              </w:rPr>
            </w:pPr>
            <w:r>
              <w:rPr>
                <w:b/>
                <w:sz w:val="16"/>
              </w:rPr>
              <w:t>liniové stavby technické infrastruktury nadřazených systémů</w:t>
            </w:r>
          </w:p>
        </w:tc>
        <w:tc>
          <w:tcPr>
            <w:tcW w:w="5035" w:type="dxa"/>
          </w:tcPr>
          <w:p>
            <w:pPr>
              <w:pStyle w:val="TableParagraph"/>
              <w:spacing w:before="109"/>
              <w:rPr>
                <w:sz w:val="16"/>
              </w:rPr>
            </w:pPr>
            <w:r>
              <w:rPr>
                <w:sz w:val="16"/>
              </w:rPr>
              <w:t>souvisí bezprostředně s provozem města</w:t>
            </w:r>
          </w:p>
        </w:tc>
      </w:tr>
      <w:tr>
        <w:trPr>
          <w:trHeight w:val="594" w:hRule="atLeast"/>
        </w:trPr>
        <w:tc>
          <w:tcPr>
            <w:tcW w:w="4603" w:type="dxa"/>
          </w:tcPr>
          <w:p>
            <w:pPr>
              <w:pStyle w:val="TableParagraph"/>
              <w:spacing w:before="106"/>
              <w:ind w:right="576"/>
              <w:rPr>
                <w:b/>
                <w:sz w:val="16"/>
              </w:rPr>
            </w:pPr>
            <w:r>
              <w:rPr>
                <w:b/>
                <w:sz w:val="16"/>
              </w:rPr>
              <w:t>plošně nenáročná zařízení technické infrastruktury nadřazených systémů</w:t>
            </w:r>
          </w:p>
        </w:tc>
        <w:tc>
          <w:tcPr>
            <w:tcW w:w="5035" w:type="dxa"/>
          </w:tcPr>
          <w:p>
            <w:pPr>
              <w:pStyle w:val="TableParagraph"/>
              <w:spacing w:before="109"/>
              <w:rPr>
                <w:sz w:val="16"/>
              </w:rPr>
            </w:pPr>
            <w:r>
              <w:rPr>
                <w:sz w:val="16"/>
              </w:rPr>
              <w:t>plocha nepřesáhne 300 m</w:t>
            </w:r>
            <w:r>
              <w:rPr>
                <w:sz w:val="16"/>
                <w:vertAlign w:val="superscript"/>
              </w:rPr>
              <w:t>2</w:t>
            </w:r>
          </w:p>
          <w:p>
            <w:pPr>
              <w:pStyle w:val="TableParagraph"/>
              <w:spacing w:line="168" w:lineRule="exact" w:before="113"/>
              <w:rPr>
                <w:sz w:val="16"/>
              </w:rPr>
            </w:pPr>
            <w:r>
              <w:rPr>
                <w:sz w:val="16"/>
              </w:rPr>
              <w:t>souvisí bezprostředně s provozem města</w:t>
            </w:r>
          </w:p>
        </w:tc>
      </w:tr>
      <w:tr>
        <w:trPr>
          <w:trHeight w:val="5101" w:hRule="atLeast"/>
        </w:trPr>
        <w:tc>
          <w:tcPr>
            <w:tcW w:w="4603" w:type="dxa"/>
          </w:tcPr>
          <w:p>
            <w:pPr>
              <w:pStyle w:val="TableParagraph"/>
              <w:spacing w:before="106"/>
              <w:rPr>
                <w:b/>
                <w:sz w:val="16"/>
              </w:rPr>
            </w:pPr>
            <w:r>
              <w:rPr>
                <w:b/>
                <w:sz w:val="16"/>
              </w:rPr>
              <w:t>základní vybavenost území</w:t>
            </w:r>
          </w:p>
          <w:p>
            <w:pPr>
              <w:pStyle w:val="TableParagraph"/>
              <w:spacing w:before="61"/>
              <w:ind w:right="450"/>
              <w:rPr>
                <w:sz w:val="16"/>
              </w:rPr>
            </w:pPr>
            <w:r>
              <w:rPr>
                <w:sz w:val="16"/>
              </w:rPr>
              <w:t>terénní úpravy kromě těžebních prací a skládek odpadů, opěrné zdi, propustky a přemostění, oplocení</w:t>
            </w:r>
          </w:p>
          <w:p>
            <w:pPr>
              <w:pStyle w:val="TableParagraph"/>
              <w:spacing w:before="57"/>
              <w:ind w:right="189" w:hanging="1"/>
              <w:rPr>
                <w:sz w:val="16"/>
              </w:rPr>
            </w:pPr>
            <w:r>
              <w:rPr>
                <w:sz w:val="16"/>
              </w:rPr>
              <w:t>vodní toky a vodní plochy do 300 m</w:t>
            </w:r>
            <w:r>
              <w:rPr>
                <w:sz w:val="16"/>
                <w:vertAlign w:val="superscript"/>
              </w:rPr>
              <w:t>2</w:t>
            </w:r>
            <w:r>
              <w:rPr>
                <w:sz w:val="16"/>
                <w:vertAlign w:val="baseline"/>
              </w:rPr>
              <w:t>, parkové, sadovnické a zahradnické úpravy, pobytové louky, plošné a liniové prvky ochranné a doprovodné zeleně vč. biokoridorů ÚSES a IP</w:t>
            </w:r>
          </w:p>
          <w:p>
            <w:pPr>
              <w:pStyle w:val="TableParagraph"/>
              <w:spacing w:before="58"/>
              <w:ind w:right="139" w:hanging="1"/>
              <w:rPr>
                <w:sz w:val="16"/>
              </w:rPr>
            </w:pPr>
            <w:r>
              <w:rPr>
                <w:sz w:val="16"/>
              </w:rPr>
              <w:t>veřejná prostranství - místní komunikace zpřístupňující objekty a pozemky v ploše, komunikace, pobytové prostory s vyloučením motorové dopravy, zastávky VDO, parkování</w:t>
            </w:r>
            <w:r>
              <w:rPr>
                <w:spacing w:val="-22"/>
                <w:sz w:val="16"/>
              </w:rPr>
              <w:t> </w:t>
            </w:r>
            <w:r>
              <w:rPr>
                <w:sz w:val="16"/>
              </w:rPr>
              <w:t>OA</w:t>
            </w:r>
          </w:p>
          <w:p>
            <w:pPr>
              <w:pStyle w:val="TableParagraph"/>
              <w:spacing w:before="55"/>
              <w:ind w:right="156"/>
              <w:rPr>
                <w:sz w:val="16"/>
              </w:rPr>
            </w:pPr>
            <w:r>
              <w:rPr>
                <w:sz w:val="16"/>
              </w:rPr>
              <w:t>technická infrastruktura - liniové stavby a plošně nenáročná zařízení vodovodů, kanalizace, produktovodů, energetických zařízení vč. obnovitelných zdrojů, elektronických</w:t>
            </w:r>
            <w:r>
              <w:rPr>
                <w:spacing w:val="-22"/>
                <w:sz w:val="16"/>
              </w:rPr>
              <w:t> </w:t>
            </w:r>
            <w:r>
              <w:rPr>
                <w:sz w:val="16"/>
              </w:rPr>
              <w:t>komunikací</w:t>
            </w:r>
          </w:p>
          <w:p>
            <w:pPr>
              <w:pStyle w:val="TableParagraph"/>
              <w:spacing w:before="57"/>
              <w:ind w:right="361"/>
              <w:rPr>
                <w:sz w:val="16"/>
              </w:rPr>
            </w:pPr>
            <w:r>
              <w:rPr>
                <w:sz w:val="16"/>
              </w:rPr>
              <w:t>správa a údržba, technologická zařízení, přístřešky pro skladování a manipulaci nesloužící pro hořlavé, chemické látky, které mohou způsobit znečištění životního prostředí</w:t>
            </w:r>
          </w:p>
          <w:p>
            <w:pPr>
              <w:pStyle w:val="TableParagraph"/>
              <w:spacing w:before="58"/>
              <w:ind w:right="610"/>
              <w:rPr>
                <w:sz w:val="16"/>
              </w:rPr>
            </w:pPr>
            <w:r>
              <w:rPr>
                <w:sz w:val="16"/>
              </w:rPr>
              <w:t>rekreace - hřiště, mobiliář, přístřešky pro obsluhu, občerstvení a hygienu, stavby drobné architektury bez pobytových místností</w:t>
            </w:r>
          </w:p>
          <w:p>
            <w:pPr>
              <w:pStyle w:val="TableParagraph"/>
              <w:spacing w:before="55"/>
              <w:ind w:right="140"/>
              <w:rPr>
                <w:sz w:val="16"/>
              </w:rPr>
            </w:pPr>
            <w:r>
              <w:rPr>
                <w:sz w:val="16"/>
              </w:rPr>
              <w:t>pěstitelská a chovatelská činnost - skleníky, kotce, přístřešky pro hospodaření</w:t>
            </w:r>
          </w:p>
          <w:p>
            <w:pPr>
              <w:pStyle w:val="TableParagraph"/>
              <w:spacing w:line="312" w:lineRule="auto" w:before="60"/>
              <w:ind w:right="726" w:hanging="1"/>
              <w:rPr>
                <w:sz w:val="16"/>
              </w:rPr>
            </w:pPr>
            <w:r>
              <w:rPr>
                <w:sz w:val="16"/>
              </w:rPr>
              <w:t>informační zařízení do 8 m</w:t>
            </w:r>
            <w:r>
              <w:rPr>
                <w:sz w:val="16"/>
                <w:vertAlign w:val="superscript"/>
              </w:rPr>
              <w:t>2</w:t>
            </w:r>
            <w:r>
              <w:rPr>
                <w:sz w:val="16"/>
                <w:vertAlign w:val="baseline"/>
              </w:rPr>
              <w:t> informační plochy ochrana před povodněmi, erozí, hlukem, exhalacemi</w:t>
            </w:r>
          </w:p>
          <w:p>
            <w:pPr>
              <w:pStyle w:val="TableParagraph"/>
              <w:spacing w:line="180" w:lineRule="atLeast" w:before="4"/>
              <w:ind w:right="201"/>
              <w:rPr>
                <w:sz w:val="16"/>
              </w:rPr>
            </w:pPr>
            <w:r>
              <w:rPr>
                <w:sz w:val="16"/>
              </w:rPr>
              <w:t>integrované stavby a zařízení: bydlení správce, občanské vybavení, nerušící výroba, chovatelská a pěstitelská činnost</w:t>
            </w:r>
          </w:p>
        </w:tc>
        <w:tc>
          <w:tcPr>
            <w:tcW w:w="5035" w:type="dxa"/>
          </w:tcPr>
          <w:p>
            <w:pPr>
              <w:pStyle w:val="TableParagraph"/>
              <w:spacing w:before="53"/>
              <w:ind w:right="918"/>
              <w:rPr>
                <w:sz w:val="16"/>
              </w:rPr>
            </w:pPr>
            <w:r>
              <w:rPr>
                <w:sz w:val="16"/>
              </w:rPr>
              <w:t>slouží bezprostředně k zajištění hlavního, přípustného a podmíněně přípustného využití dané plochy</w:t>
            </w:r>
          </w:p>
          <w:p>
            <w:pPr>
              <w:pStyle w:val="TableParagraph"/>
              <w:spacing w:before="57"/>
              <w:ind w:right="223"/>
              <w:rPr>
                <w:sz w:val="16"/>
              </w:rPr>
            </w:pPr>
            <w:r>
              <w:rPr>
                <w:sz w:val="16"/>
              </w:rPr>
              <w:t>budou uplatněny podmínky prostorového uspořádání odpovídající podmínkám prostorového uspořádání dané plochy</w:t>
            </w:r>
          </w:p>
        </w:tc>
      </w:tr>
      <w:tr>
        <w:trPr>
          <w:trHeight w:val="297" w:hRule="atLeast"/>
        </w:trPr>
        <w:tc>
          <w:tcPr>
            <w:tcW w:w="4603" w:type="dxa"/>
            <w:shd w:val="clear" w:color="auto" w:fill="CCFFFF"/>
          </w:tcPr>
          <w:p>
            <w:pPr>
              <w:pStyle w:val="TableParagraph"/>
              <w:spacing w:line="171" w:lineRule="exact" w:before="106"/>
              <w:rPr>
                <w:b/>
                <w:sz w:val="16"/>
              </w:rPr>
            </w:pPr>
            <w:r>
              <w:rPr>
                <w:b/>
                <w:sz w:val="16"/>
              </w:rPr>
              <w:t>NEPŘÍPUSTNÉ VYUŽITÍ</w:t>
            </w:r>
          </w:p>
        </w:tc>
        <w:tc>
          <w:tcPr>
            <w:tcW w:w="5035" w:type="dxa"/>
            <w:shd w:val="clear" w:color="auto" w:fill="CCFFFF"/>
          </w:tcPr>
          <w:p>
            <w:pPr>
              <w:pStyle w:val="TableParagraph"/>
              <w:ind w:left="0"/>
              <w:rPr>
                <w:rFonts w:ascii="Times New Roman"/>
                <w:sz w:val="16"/>
              </w:rPr>
            </w:pPr>
          </w:p>
        </w:tc>
      </w:tr>
      <w:tr>
        <w:trPr>
          <w:trHeight w:val="1386" w:hRule="atLeast"/>
        </w:trPr>
        <w:tc>
          <w:tcPr>
            <w:tcW w:w="4603" w:type="dxa"/>
          </w:tcPr>
          <w:p>
            <w:pPr>
              <w:pStyle w:val="TableParagraph"/>
              <w:spacing w:before="106"/>
              <w:rPr>
                <w:b/>
                <w:sz w:val="16"/>
              </w:rPr>
            </w:pPr>
            <w:r>
              <w:rPr>
                <w:b/>
                <w:sz w:val="16"/>
              </w:rPr>
              <w:t>zejména využití, u kterého existuje riziko, že:</w:t>
            </w:r>
          </w:p>
          <w:p>
            <w:pPr>
              <w:pStyle w:val="TableParagraph"/>
              <w:spacing w:before="59"/>
              <w:rPr>
                <w:sz w:val="16"/>
              </w:rPr>
            </w:pPr>
            <w:r>
              <w:rPr>
                <w:sz w:val="16"/>
              </w:rPr>
              <w:t>naruší kvalitu prostředí plochy dopravní infrastruktury-letecké</w:t>
            </w:r>
          </w:p>
          <w:p>
            <w:pPr>
              <w:pStyle w:val="TableParagraph"/>
              <w:spacing w:before="58"/>
              <w:ind w:right="201"/>
              <w:rPr>
                <w:sz w:val="16"/>
              </w:rPr>
            </w:pPr>
            <w:r>
              <w:rPr>
                <w:sz w:val="16"/>
              </w:rPr>
              <w:t>jeho nároky na kvalitu prostředí resp. pohodu bydlení omezí hlavní funkci plochy dopravní infrastruktury-letecké</w:t>
            </w:r>
          </w:p>
          <w:p>
            <w:pPr>
              <w:pStyle w:val="TableParagraph"/>
              <w:spacing w:line="182" w:lineRule="exact" w:before="61"/>
              <w:ind w:right="237"/>
              <w:rPr>
                <w:sz w:val="16"/>
              </w:rPr>
            </w:pPr>
            <w:r>
              <w:rPr>
                <w:sz w:val="16"/>
              </w:rPr>
              <w:t>naruší celistvost a funkčnost plochy dopravní infrastruktury- letecké</w:t>
            </w:r>
          </w:p>
        </w:tc>
        <w:tc>
          <w:tcPr>
            <w:tcW w:w="5035" w:type="dxa"/>
          </w:tcPr>
          <w:p>
            <w:pPr>
              <w:pStyle w:val="TableParagraph"/>
              <w:ind w:left="0"/>
              <w:rPr>
                <w:rFonts w:ascii="Times New Roman"/>
                <w:sz w:val="16"/>
              </w:rPr>
            </w:pPr>
          </w:p>
        </w:tc>
      </w:tr>
    </w:tbl>
    <w:p>
      <w:pPr>
        <w:spacing w:after="0"/>
        <w:rPr>
          <w:rFonts w:ascii="Times New Roman"/>
          <w:sz w:val="16"/>
        </w:rPr>
        <w:sectPr>
          <w:pgSz w:w="11900" w:h="16840"/>
          <w:pgMar w:header="561" w:footer="582" w:top="760" w:bottom="780" w:left="960" w:right="980"/>
        </w:sectPr>
      </w:pPr>
    </w:p>
    <w:p>
      <w:pPr>
        <w:pStyle w:val="BodyText"/>
        <w:ind w:left="0" w:firstLine="0"/>
        <w:jc w:val="left"/>
        <w:rPr>
          <w:b/>
          <w:sz w:val="20"/>
        </w:rPr>
      </w:pPr>
    </w:p>
    <w:p>
      <w:pPr>
        <w:pStyle w:val="BodyText"/>
        <w:spacing w:before="7"/>
        <w:ind w:left="0" w:firstLine="0"/>
        <w:jc w:val="left"/>
        <w:rPr>
          <w:b/>
          <w:sz w:val="11"/>
        </w:r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03"/>
        <w:gridCol w:w="5035"/>
      </w:tblGrid>
      <w:tr>
        <w:trPr>
          <w:trHeight w:val="311" w:hRule="atLeast"/>
        </w:trPr>
        <w:tc>
          <w:tcPr>
            <w:tcW w:w="4603" w:type="dxa"/>
            <w:shd w:val="clear" w:color="auto" w:fill="32CCCC"/>
          </w:tcPr>
          <w:p>
            <w:pPr>
              <w:pStyle w:val="TableParagraph"/>
              <w:spacing w:line="237" w:lineRule="exact" w:before="55"/>
              <w:rPr>
                <w:b/>
                <w:sz w:val="22"/>
              </w:rPr>
            </w:pPr>
            <w:r>
              <w:rPr>
                <w:b/>
                <w:sz w:val="22"/>
              </w:rPr>
              <w:t>PLOCHY VEŘEJNÝCH PROSTRANSTVÍ</w:t>
            </w:r>
          </w:p>
        </w:tc>
        <w:tc>
          <w:tcPr>
            <w:tcW w:w="5035" w:type="dxa"/>
            <w:shd w:val="clear" w:color="auto" w:fill="32CCCC"/>
          </w:tcPr>
          <w:p>
            <w:pPr>
              <w:pStyle w:val="TableParagraph"/>
              <w:spacing w:line="237" w:lineRule="exact" w:before="55"/>
              <w:rPr>
                <w:b/>
                <w:sz w:val="22"/>
              </w:rPr>
            </w:pPr>
            <w:r>
              <w:rPr>
                <w:b/>
                <w:w w:val="100"/>
                <w:sz w:val="22"/>
              </w:rPr>
              <w:t>P</w:t>
            </w:r>
          </w:p>
        </w:tc>
      </w:tr>
      <w:tr>
        <w:trPr>
          <w:trHeight w:val="239" w:hRule="atLeast"/>
        </w:trPr>
        <w:tc>
          <w:tcPr>
            <w:tcW w:w="4603" w:type="dxa"/>
            <w:shd w:val="clear" w:color="auto" w:fill="CCFFFF"/>
          </w:tcPr>
          <w:p>
            <w:pPr>
              <w:pStyle w:val="TableParagraph"/>
              <w:spacing w:line="166" w:lineRule="exact" w:before="53"/>
              <w:rPr>
                <w:sz w:val="16"/>
              </w:rPr>
            </w:pPr>
            <w:r>
              <w:rPr>
                <w:sz w:val="16"/>
              </w:rPr>
              <w:t>pozemky pro stavby, zařízení, úpravy, kultury, činnosti</w:t>
            </w:r>
          </w:p>
        </w:tc>
        <w:tc>
          <w:tcPr>
            <w:tcW w:w="5035" w:type="dxa"/>
            <w:shd w:val="clear" w:color="auto" w:fill="CCFFFF"/>
          </w:tcPr>
          <w:p>
            <w:pPr>
              <w:pStyle w:val="TableParagraph"/>
              <w:ind w:left="0"/>
              <w:rPr>
                <w:rFonts w:ascii="Times New Roman"/>
                <w:sz w:val="16"/>
              </w:rPr>
            </w:pPr>
          </w:p>
        </w:tc>
      </w:tr>
      <w:tr>
        <w:trPr>
          <w:trHeight w:val="241" w:hRule="atLeast"/>
        </w:trPr>
        <w:tc>
          <w:tcPr>
            <w:tcW w:w="4603" w:type="dxa"/>
            <w:shd w:val="clear" w:color="auto" w:fill="CCFFFF"/>
          </w:tcPr>
          <w:p>
            <w:pPr>
              <w:pStyle w:val="TableParagraph"/>
              <w:spacing w:line="168" w:lineRule="exact" w:before="53"/>
              <w:rPr>
                <w:b/>
                <w:sz w:val="16"/>
              </w:rPr>
            </w:pPr>
            <w:r>
              <w:rPr>
                <w:b/>
                <w:sz w:val="16"/>
              </w:rPr>
              <w:t>HLAVNÍ VYUŽITÍ</w:t>
            </w:r>
          </w:p>
        </w:tc>
        <w:tc>
          <w:tcPr>
            <w:tcW w:w="5035" w:type="dxa"/>
            <w:shd w:val="clear" w:color="auto" w:fill="CCFFFF"/>
          </w:tcPr>
          <w:p>
            <w:pPr>
              <w:pStyle w:val="TableParagraph"/>
              <w:ind w:left="0"/>
              <w:rPr>
                <w:rFonts w:ascii="Times New Roman"/>
                <w:sz w:val="16"/>
              </w:rPr>
            </w:pPr>
          </w:p>
        </w:tc>
      </w:tr>
      <w:tr>
        <w:trPr>
          <w:trHeight w:val="297" w:hRule="atLeast"/>
        </w:trPr>
        <w:tc>
          <w:tcPr>
            <w:tcW w:w="4603" w:type="dxa"/>
          </w:tcPr>
          <w:p>
            <w:pPr>
              <w:pStyle w:val="TableParagraph"/>
              <w:spacing w:line="171" w:lineRule="exact" w:before="106"/>
              <w:rPr>
                <w:sz w:val="16"/>
              </w:rPr>
            </w:pPr>
            <w:r>
              <w:rPr>
                <w:b/>
                <w:sz w:val="16"/>
              </w:rPr>
              <w:t>silniční doprava </w:t>
            </w:r>
            <w:r>
              <w:rPr>
                <w:sz w:val="16"/>
              </w:rPr>
              <w:t>- zejména místní komunikace I., II., III. třídy</w:t>
            </w:r>
          </w:p>
        </w:tc>
        <w:tc>
          <w:tcPr>
            <w:tcW w:w="5035" w:type="dxa"/>
          </w:tcPr>
          <w:p>
            <w:pPr>
              <w:pStyle w:val="TableParagraph"/>
              <w:ind w:left="0"/>
              <w:rPr>
                <w:rFonts w:ascii="Times New Roman"/>
                <w:sz w:val="16"/>
              </w:rPr>
            </w:pPr>
          </w:p>
        </w:tc>
      </w:tr>
      <w:tr>
        <w:trPr>
          <w:trHeight w:val="479" w:hRule="atLeast"/>
        </w:trPr>
        <w:tc>
          <w:tcPr>
            <w:tcW w:w="4603" w:type="dxa"/>
          </w:tcPr>
          <w:p>
            <w:pPr>
              <w:pStyle w:val="TableParagraph"/>
              <w:spacing w:line="180" w:lineRule="atLeast" w:before="106"/>
              <w:ind w:right="274"/>
              <w:rPr>
                <w:sz w:val="16"/>
              </w:rPr>
            </w:pPr>
            <w:r>
              <w:rPr>
                <w:b/>
                <w:sz w:val="16"/>
              </w:rPr>
              <w:t>bezmotorová doprava, shromažďování </w:t>
            </w:r>
            <w:r>
              <w:rPr>
                <w:sz w:val="16"/>
              </w:rPr>
              <w:t>- zejména místní komunikace IV. třídy, návsi, náměstí</w:t>
            </w:r>
          </w:p>
        </w:tc>
        <w:tc>
          <w:tcPr>
            <w:tcW w:w="5035" w:type="dxa"/>
          </w:tcPr>
          <w:p>
            <w:pPr>
              <w:pStyle w:val="TableParagraph"/>
              <w:ind w:left="0"/>
              <w:rPr>
                <w:rFonts w:ascii="Times New Roman"/>
                <w:sz w:val="16"/>
              </w:rPr>
            </w:pPr>
          </w:p>
        </w:tc>
      </w:tr>
      <w:tr>
        <w:trPr>
          <w:trHeight w:val="241" w:hRule="atLeast"/>
        </w:trPr>
        <w:tc>
          <w:tcPr>
            <w:tcW w:w="4603" w:type="dxa"/>
            <w:shd w:val="clear" w:color="auto" w:fill="CCFFFF"/>
          </w:tcPr>
          <w:p>
            <w:pPr>
              <w:pStyle w:val="TableParagraph"/>
              <w:spacing w:line="168" w:lineRule="exact" w:before="53"/>
              <w:rPr>
                <w:b/>
                <w:sz w:val="16"/>
              </w:rPr>
            </w:pPr>
            <w:r>
              <w:rPr>
                <w:b/>
                <w:sz w:val="16"/>
              </w:rPr>
              <w:t>PŘÍPUSTNÉ VYUŽITÍ</w:t>
            </w:r>
          </w:p>
        </w:tc>
        <w:tc>
          <w:tcPr>
            <w:tcW w:w="5035" w:type="dxa"/>
            <w:shd w:val="clear" w:color="auto" w:fill="CCFFFF"/>
          </w:tcPr>
          <w:p>
            <w:pPr>
              <w:pStyle w:val="TableParagraph"/>
              <w:ind w:left="0"/>
              <w:rPr>
                <w:rFonts w:ascii="Times New Roman"/>
                <w:sz w:val="16"/>
              </w:rPr>
            </w:pPr>
          </w:p>
        </w:tc>
      </w:tr>
      <w:tr>
        <w:trPr>
          <w:trHeight w:val="481" w:hRule="atLeast"/>
        </w:trPr>
        <w:tc>
          <w:tcPr>
            <w:tcW w:w="4603" w:type="dxa"/>
          </w:tcPr>
          <w:p>
            <w:pPr>
              <w:pStyle w:val="TableParagraph"/>
              <w:spacing w:line="180" w:lineRule="atLeast" w:before="106"/>
              <w:ind w:right="282"/>
              <w:rPr>
                <w:sz w:val="16"/>
              </w:rPr>
            </w:pPr>
            <w:r>
              <w:rPr>
                <w:b/>
                <w:sz w:val="16"/>
              </w:rPr>
              <w:t>dopravní vybavení </w:t>
            </w:r>
            <w:r>
              <w:rPr>
                <w:sz w:val="16"/>
              </w:rPr>
              <w:t>- zastávky VDO, vyhrazená parkoviště OA</w:t>
            </w:r>
          </w:p>
        </w:tc>
        <w:tc>
          <w:tcPr>
            <w:tcW w:w="5035" w:type="dxa"/>
          </w:tcPr>
          <w:p>
            <w:pPr>
              <w:pStyle w:val="TableParagraph"/>
              <w:ind w:left="0"/>
              <w:rPr>
                <w:rFonts w:ascii="Times New Roman"/>
                <w:sz w:val="16"/>
              </w:rPr>
            </w:pPr>
          </w:p>
        </w:tc>
      </w:tr>
      <w:tr>
        <w:trPr>
          <w:trHeight w:val="297" w:hRule="atLeast"/>
        </w:trPr>
        <w:tc>
          <w:tcPr>
            <w:tcW w:w="4603" w:type="dxa"/>
          </w:tcPr>
          <w:p>
            <w:pPr>
              <w:pStyle w:val="TableParagraph"/>
              <w:spacing w:line="171" w:lineRule="exact" w:before="106"/>
              <w:rPr>
                <w:b/>
                <w:sz w:val="16"/>
              </w:rPr>
            </w:pPr>
            <w:r>
              <w:rPr>
                <w:b/>
                <w:sz w:val="16"/>
              </w:rPr>
              <w:t>liniové stavby technické infrastruktury</w:t>
            </w:r>
          </w:p>
        </w:tc>
        <w:tc>
          <w:tcPr>
            <w:tcW w:w="5035" w:type="dxa"/>
          </w:tcPr>
          <w:p>
            <w:pPr>
              <w:pStyle w:val="TableParagraph"/>
              <w:ind w:left="0"/>
              <w:rPr>
                <w:rFonts w:ascii="Times New Roman"/>
                <w:sz w:val="16"/>
              </w:rPr>
            </w:pPr>
          </w:p>
        </w:tc>
      </w:tr>
      <w:tr>
        <w:trPr>
          <w:trHeight w:val="1386" w:hRule="atLeast"/>
        </w:trPr>
        <w:tc>
          <w:tcPr>
            <w:tcW w:w="4603" w:type="dxa"/>
            <w:vMerge w:val="restart"/>
            <w:shd w:val="clear" w:color="auto" w:fill="CCFFFF"/>
          </w:tcPr>
          <w:p>
            <w:pPr>
              <w:pStyle w:val="TableParagraph"/>
              <w:spacing w:before="51"/>
              <w:rPr>
                <w:b/>
                <w:sz w:val="16"/>
              </w:rPr>
            </w:pPr>
            <w:r>
              <w:rPr>
                <w:b/>
                <w:sz w:val="16"/>
              </w:rPr>
              <w:t>PODMÍNĚNĚ PŘÍPUSTNÉ VYUŽITÍ</w:t>
            </w:r>
          </w:p>
        </w:tc>
        <w:tc>
          <w:tcPr>
            <w:tcW w:w="5035" w:type="dxa"/>
            <w:shd w:val="clear" w:color="auto" w:fill="CCFFFF"/>
          </w:tcPr>
          <w:p>
            <w:pPr>
              <w:pStyle w:val="TableParagraph"/>
              <w:spacing w:before="51"/>
              <w:ind w:right="260"/>
              <w:rPr>
                <w:sz w:val="16"/>
              </w:rPr>
            </w:pPr>
            <w:r>
              <w:rPr>
                <w:b/>
                <w:sz w:val="16"/>
              </w:rPr>
              <w:t>obecné podmínky: </w:t>
            </w:r>
            <w:r>
              <w:rPr>
                <w:sz w:val="16"/>
              </w:rPr>
              <w:t>prokázat přiměřenost jeho dopadů ve vztahu k hlavnímu a přípustnému využití z hlediska:</w:t>
            </w:r>
          </w:p>
          <w:p>
            <w:pPr>
              <w:pStyle w:val="TableParagraph"/>
              <w:spacing w:before="59"/>
              <w:rPr>
                <w:sz w:val="16"/>
              </w:rPr>
            </w:pPr>
            <w:r>
              <w:rPr>
                <w:sz w:val="16"/>
              </w:rPr>
              <w:t>významu v širším území</w:t>
            </w:r>
          </w:p>
          <w:p>
            <w:pPr>
              <w:pStyle w:val="TableParagraph"/>
              <w:spacing w:line="316" w:lineRule="auto" w:before="56"/>
              <w:ind w:right="1496"/>
              <w:rPr>
                <w:sz w:val="16"/>
              </w:rPr>
            </w:pPr>
            <w:r>
              <w:rPr>
                <w:sz w:val="16"/>
              </w:rPr>
              <w:t>narušení kvality prostředí resp. pohody bydlení charakteru a kapacity napojení na infrastrukturu</w:t>
            </w:r>
          </w:p>
          <w:p>
            <w:pPr>
              <w:pStyle w:val="TableParagraph"/>
              <w:spacing w:line="163" w:lineRule="exact"/>
              <w:rPr>
                <w:sz w:val="16"/>
              </w:rPr>
            </w:pPr>
            <w:r>
              <w:rPr>
                <w:sz w:val="16"/>
              </w:rPr>
              <w:t>vyvolaných omezení ve smyslu hygienických a dalších předpisů</w:t>
            </w:r>
          </w:p>
        </w:tc>
      </w:tr>
      <w:tr>
        <w:trPr>
          <w:trHeight w:val="241" w:hRule="atLeast"/>
        </w:trPr>
        <w:tc>
          <w:tcPr>
            <w:tcW w:w="4603" w:type="dxa"/>
            <w:vMerge/>
            <w:tcBorders>
              <w:top w:val="nil"/>
            </w:tcBorders>
            <w:shd w:val="clear" w:color="auto" w:fill="CCFFFF"/>
          </w:tcPr>
          <w:p>
            <w:pPr>
              <w:rPr>
                <w:sz w:val="2"/>
                <w:szCs w:val="2"/>
              </w:rPr>
            </w:pPr>
          </w:p>
        </w:tc>
        <w:tc>
          <w:tcPr>
            <w:tcW w:w="5035" w:type="dxa"/>
            <w:shd w:val="clear" w:color="auto" w:fill="CCFFFF"/>
          </w:tcPr>
          <w:p>
            <w:pPr>
              <w:pStyle w:val="TableParagraph"/>
              <w:spacing w:line="168" w:lineRule="exact" w:before="53"/>
              <w:rPr>
                <w:b/>
                <w:sz w:val="16"/>
              </w:rPr>
            </w:pPr>
            <w:r>
              <w:rPr>
                <w:b/>
                <w:sz w:val="16"/>
              </w:rPr>
              <w:t>specifické podmínky:</w:t>
            </w:r>
          </w:p>
        </w:tc>
      </w:tr>
      <w:tr>
        <w:trPr>
          <w:trHeight w:val="481" w:hRule="atLeast"/>
        </w:trPr>
        <w:tc>
          <w:tcPr>
            <w:tcW w:w="4603" w:type="dxa"/>
          </w:tcPr>
          <w:p>
            <w:pPr>
              <w:pStyle w:val="TableParagraph"/>
              <w:spacing w:line="180" w:lineRule="atLeast" w:before="106"/>
              <w:ind w:right="175"/>
              <w:rPr>
                <w:sz w:val="16"/>
              </w:rPr>
            </w:pPr>
            <w:r>
              <w:rPr>
                <w:b/>
                <w:sz w:val="16"/>
              </w:rPr>
              <w:t>dopravní vybavení </w:t>
            </w:r>
            <w:r>
              <w:rPr>
                <w:sz w:val="16"/>
              </w:rPr>
              <w:t>- veřejná parkoviště a parkovací objekty OA</w:t>
            </w:r>
          </w:p>
        </w:tc>
        <w:tc>
          <w:tcPr>
            <w:tcW w:w="5035" w:type="dxa"/>
          </w:tcPr>
          <w:p>
            <w:pPr>
              <w:pStyle w:val="TableParagraph"/>
              <w:spacing w:before="53"/>
              <w:rPr>
                <w:sz w:val="16"/>
              </w:rPr>
            </w:pPr>
            <w:r>
              <w:rPr>
                <w:sz w:val="16"/>
              </w:rPr>
              <w:t>podzemní řešení s veřejným prostranstvím v úrovni parteru</w:t>
            </w:r>
          </w:p>
        </w:tc>
      </w:tr>
      <w:tr>
        <w:trPr>
          <w:trHeight w:val="592" w:hRule="atLeast"/>
        </w:trPr>
        <w:tc>
          <w:tcPr>
            <w:tcW w:w="4603" w:type="dxa"/>
          </w:tcPr>
          <w:p>
            <w:pPr>
              <w:pStyle w:val="TableParagraph"/>
              <w:spacing w:before="106"/>
              <w:ind w:right="388"/>
              <w:rPr>
                <w:sz w:val="16"/>
              </w:rPr>
            </w:pPr>
            <w:r>
              <w:rPr>
                <w:b/>
                <w:sz w:val="16"/>
              </w:rPr>
              <w:t>občanské vybavení </w:t>
            </w:r>
            <w:r>
              <w:rPr>
                <w:sz w:val="16"/>
              </w:rPr>
              <w:t>- zejména kultura, sport, stravování, bezpečnost, výstavnictví, zábavní aktivity</w:t>
            </w:r>
          </w:p>
        </w:tc>
        <w:tc>
          <w:tcPr>
            <w:tcW w:w="5035" w:type="dxa"/>
          </w:tcPr>
          <w:p>
            <w:pPr>
              <w:pStyle w:val="TableParagraph"/>
              <w:spacing w:before="109"/>
              <w:rPr>
                <w:sz w:val="16"/>
              </w:rPr>
            </w:pPr>
            <w:r>
              <w:rPr>
                <w:sz w:val="16"/>
              </w:rPr>
              <w:t>slouží bezprostředně k zajištění hlavního využití dané plochy</w:t>
            </w:r>
          </w:p>
        </w:tc>
      </w:tr>
      <w:tr>
        <w:trPr>
          <w:trHeight w:val="594" w:hRule="atLeast"/>
        </w:trPr>
        <w:tc>
          <w:tcPr>
            <w:tcW w:w="4603" w:type="dxa"/>
          </w:tcPr>
          <w:p>
            <w:pPr>
              <w:pStyle w:val="TableParagraph"/>
              <w:spacing w:before="106"/>
              <w:ind w:right="576"/>
              <w:rPr>
                <w:b/>
                <w:sz w:val="16"/>
              </w:rPr>
            </w:pPr>
            <w:r>
              <w:rPr>
                <w:b/>
                <w:sz w:val="16"/>
              </w:rPr>
              <w:t>plošně nenáročná zařízení technické infrastruktury nadřazených systémů</w:t>
            </w:r>
          </w:p>
        </w:tc>
        <w:tc>
          <w:tcPr>
            <w:tcW w:w="5035" w:type="dxa"/>
          </w:tcPr>
          <w:p>
            <w:pPr>
              <w:pStyle w:val="TableParagraph"/>
              <w:spacing w:before="109"/>
              <w:rPr>
                <w:sz w:val="16"/>
              </w:rPr>
            </w:pPr>
            <w:r>
              <w:rPr>
                <w:sz w:val="16"/>
              </w:rPr>
              <w:t>plocha nepřesáhne 300 m</w:t>
            </w:r>
            <w:r>
              <w:rPr>
                <w:sz w:val="16"/>
                <w:vertAlign w:val="superscript"/>
              </w:rPr>
              <w:t>2</w:t>
            </w:r>
          </w:p>
          <w:p>
            <w:pPr>
              <w:pStyle w:val="TableParagraph"/>
              <w:spacing w:line="168" w:lineRule="exact" w:before="113"/>
              <w:rPr>
                <w:sz w:val="16"/>
              </w:rPr>
            </w:pPr>
            <w:r>
              <w:rPr>
                <w:sz w:val="16"/>
              </w:rPr>
              <w:t>souvisí bezprostředně s provozem města</w:t>
            </w:r>
          </w:p>
        </w:tc>
      </w:tr>
      <w:tr>
        <w:trPr>
          <w:trHeight w:val="5101" w:hRule="atLeast"/>
        </w:trPr>
        <w:tc>
          <w:tcPr>
            <w:tcW w:w="4603" w:type="dxa"/>
          </w:tcPr>
          <w:p>
            <w:pPr>
              <w:pStyle w:val="TableParagraph"/>
              <w:spacing w:before="106"/>
              <w:rPr>
                <w:b/>
                <w:sz w:val="16"/>
              </w:rPr>
            </w:pPr>
            <w:r>
              <w:rPr>
                <w:b/>
                <w:sz w:val="16"/>
              </w:rPr>
              <w:t>základní vybavenost území</w:t>
            </w:r>
          </w:p>
          <w:p>
            <w:pPr>
              <w:pStyle w:val="TableParagraph"/>
              <w:spacing w:before="61"/>
              <w:ind w:right="450"/>
              <w:rPr>
                <w:sz w:val="16"/>
              </w:rPr>
            </w:pPr>
            <w:r>
              <w:rPr>
                <w:sz w:val="16"/>
              </w:rPr>
              <w:t>terénní úpravy kromě těžebních prací a skládek odpadů, opěrné zdi, propustky a přemostění, oplocení</w:t>
            </w:r>
          </w:p>
          <w:p>
            <w:pPr>
              <w:pStyle w:val="TableParagraph"/>
              <w:spacing w:before="57"/>
              <w:ind w:right="189" w:hanging="1"/>
              <w:rPr>
                <w:sz w:val="16"/>
              </w:rPr>
            </w:pPr>
            <w:r>
              <w:rPr>
                <w:sz w:val="16"/>
              </w:rPr>
              <w:t>vodní toky a vodní plochy do 300 m</w:t>
            </w:r>
            <w:r>
              <w:rPr>
                <w:sz w:val="16"/>
                <w:vertAlign w:val="superscript"/>
              </w:rPr>
              <w:t>2</w:t>
            </w:r>
            <w:r>
              <w:rPr>
                <w:sz w:val="16"/>
                <w:vertAlign w:val="baseline"/>
              </w:rPr>
              <w:t>, parkové, sadovnické a zahradnické úpravy, pobytové louky, plošné a liniové prvky ochranné a doprovodné zeleně vč. biokoridorů ÚSES a IP</w:t>
            </w:r>
          </w:p>
          <w:p>
            <w:pPr>
              <w:pStyle w:val="TableParagraph"/>
              <w:spacing w:before="58"/>
              <w:ind w:right="139" w:hanging="1"/>
              <w:rPr>
                <w:sz w:val="16"/>
              </w:rPr>
            </w:pPr>
            <w:r>
              <w:rPr>
                <w:sz w:val="16"/>
              </w:rPr>
              <w:t>veřejná prostranství - místní komunikace zpřístupňující objekty a pozemky v ploše, komunikace, pobytové prostory s vyloučením motorové dopravy, zastávky VDO, parkování</w:t>
            </w:r>
            <w:r>
              <w:rPr>
                <w:spacing w:val="-22"/>
                <w:sz w:val="16"/>
              </w:rPr>
              <w:t> </w:t>
            </w:r>
            <w:r>
              <w:rPr>
                <w:sz w:val="16"/>
              </w:rPr>
              <w:t>OA</w:t>
            </w:r>
          </w:p>
          <w:p>
            <w:pPr>
              <w:pStyle w:val="TableParagraph"/>
              <w:spacing w:before="55"/>
              <w:ind w:right="156"/>
              <w:rPr>
                <w:sz w:val="16"/>
              </w:rPr>
            </w:pPr>
            <w:r>
              <w:rPr>
                <w:sz w:val="16"/>
              </w:rPr>
              <w:t>technická infrastruktura - liniové stavby a plošně nenáročná zařízení vodovodů, kanalizace, produktovodů, energetických zařízení vč. obnovitelných zdrojů, elektronických</w:t>
            </w:r>
            <w:r>
              <w:rPr>
                <w:spacing w:val="-22"/>
                <w:sz w:val="16"/>
              </w:rPr>
              <w:t> </w:t>
            </w:r>
            <w:r>
              <w:rPr>
                <w:sz w:val="16"/>
              </w:rPr>
              <w:t>komunikací</w:t>
            </w:r>
          </w:p>
          <w:p>
            <w:pPr>
              <w:pStyle w:val="TableParagraph"/>
              <w:spacing w:before="57"/>
              <w:ind w:right="361"/>
              <w:rPr>
                <w:sz w:val="16"/>
              </w:rPr>
            </w:pPr>
            <w:r>
              <w:rPr>
                <w:sz w:val="16"/>
              </w:rPr>
              <w:t>správa a údržba, technologická zařízení, přístřešky pro skladování a manipulaci nesloužící pro hořlavé, chemické látky, které mohou způsobit znečištění životního prostředí</w:t>
            </w:r>
          </w:p>
          <w:p>
            <w:pPr>
              <w:pStyle w:val="TableParagraph"/>
              <w:spacing w:before="58"/>
              <w:ind w:right="610"/>
              <w:rPr>
                <w:sz w:val="16"/>
              </w:rPr>
            </w:pPr>
            <w:r>
              <w:rPr>
                <w:sz w:val="16"/>
              </w:rPr>
              <w:t>rekreace - hřiště, mobiliář, přístřešky pro obsluhu, občerstvení a hygienu, stavby drobné architektury bez pobytových místností</w:t>
            </w:r>
          </w:p>
          <w:p>
            <w:pPr>
              <w:pStyle w:val="TableParagraph"/>
              <w:spacing w:before="55"/>
              <w:ind w:right="140"/>
              <w:rPr>
                <w:sz w:val="16"/>
              </w:rPr>
            </w:pPr>
            <w:r>
              <w:rPr>
                <w:sz w:val="16"/>
              </w:rPr>
              <w:t>pěstitelská a chovatelská činnost - skleníky, kotce, přístřešky pro hospodaření</w:t>
            </w:r>
          </w:p>
          <w:p>
            <w:pPr>
              <w:pStyle w:val="TableParagraph"/>
              <w:spacing w:line="312" w:lineRule="auto" w:before="60"/>
              <w:ind w:right="726" w:hanging="1"/>
              <w:rPr>
                <w:sz w:val="16"/>
              </w:rPr>
            </w:pPr>
            <w:r>
              <w:rPr>
                <w:sz w:val="16"/>
              </w:rPr>
              <w:t>informační zařízení do 8 m</w:t>
            </w:r>
            <w:r>
              <w:rPr>
                <w:sz w:val="16"/>
                <w:vertAlign w:val="superscript"/>
              </w:rPr>
              <w:t>2</w:t>
            </w:r>
            <w:r>
              <w:rPr>
                <w:sz w:val="16"/>
                <w:vertAlign w:val="baseline"/>
              </w:rPr>
              <w:t> informační plochy ochrana před povodněmi, erozí, hlukem, exhalacemi</w:t>
            </w:r>
          </w:p>
          <w:p>
            <w:pPr>
              <w:pStyle w:val="TableParagraph"/>
              <w:spacing w:line="180" w:lineRule="atLeast" w:before="4"/>
              <w:ind w:right="201"/>
              <w:rPr>
                <w:sz w:val="16"/>
              </w:rPr>
            </w:pPr>
            <w:r>
              <w:rPr>
                <w:sz w:val="16"/>
              </w:rPr>
              <w:t>integrované stavby a zařízení: bydlení správce, občanské vybavení, nerušící výroba, chovatelská a pěstitelská činnost</w:t>
            </w:r>
          </w:p>
        </w:tc>
        <w:tc>
          <w:tcPr>
            <w:tcW w:w="5035" w:type="dxa"/>
          </w:tcPr>
          <w:p>
            <w:pPr>
              <w:pStyle w:val="TableParagraph"/>
              <w:spacing w:before="53"/>
              <w:ind w:right="918"/>
              <w:rPr>
                <w:sz w:val="16"/>
              </w:rPr>
            </w:pPr>
            <w:r>
              <w:rPr>
                <w:sz w:val="16"/>
              </w:rPr>
              <w:t>slouží bezprostředně k zajištění hlavního, přípustného a podmíněně přípustného využití dané plochy</w:t>
            </w:r>
          </w:p>
          <w:p>
            <w:pPr>
              <w:pStyle w:val="TableParagraph"/>
              <w:spacing w:before="57"/>
              <w:ind w:right="223"/>
              <w:rPr>
                <w:sz w:val="16"/>
              </w:rPr>
            </w:pPr>
            <w:r>
              <w:rPr>
                <w:sz w:val="16"/>
              </w:rPr>
              <w:t>budou uplatněny podmínky prostorového uspořádání odpovídající podmínkám prostorového uspořádání dané plochy</w:t>
            </w:r>
          </w:p>
        </w:tc>
      </w:tr>
      <w:tr>
        <w:trPr>
          <w:trHeight w:val="297" w:hRule="atLeast"/>
        </w:trPr>
        <w:tc>
          <w:tcPr>
            <w:tcW w:w="4603" w:type="dxa"/>
            <w:shd w:val="clear" w:color="auto" w:fill="CCFFFF"/>
          </w:tcPr>
          <w:p>
            <w:pPr>
              <w:pStyle w:val="TableParagraph"/>
              <w:spacing w:line="171" w:lineRule="exact" w:before="106"/>
              <w:rPr>
                <w:b/>
                <w:sz w:val="16"/>
              </w:rPr>
            </w:pPr>
            <w:r>
              <w:rPr>
                <w:b/>
                <w:sz w:val="16"/>
              </w:rPr>
              <w:t>NEPŘÍPUSTNÉ VYUŽITÍ</w:t>
            </w:r>
          </w:p>
        </w:tc>
        <w:tc>
          <w:tcPr>
            <w:tcW w:w="5035" w:type="dxa"/>
            <w:shd w:val="clear" w:color="auto" w:fill="CCFFFF"/>
          </w:tcPr>
          <w:p>
            <w:pPr>
              <w:pStyle w:val="TableParagraph"/>
              <w:ind w:left="0"/>
              <w:rPr>
                <w:rFonts w:ascii="Times New Roman"/>
                <w:sz w:val="16"/>
              </w:rPr>
            </w:pPr>
          </w:p>
        </w:tc>
      </w:tr>
      <w:tr>
        <w:trPr>
          <w:trHeight w:val="1204" w:hRule="atLeast"/>
        </w:trPr>
        <w:tc>
          <w:tcPr>
            <w:tcW w:w="4603" w:type="dxa"/>
          </w:tcPr>
          <w:p>
            <w:pPr>
              <w:pStyle w:val="TableParagraph"/>
              <w:spacing w:before="106"/>
              <w:rPr>
                <w:b/>
                <w:sz w:val="16"/>
              </w:rPr>
            </w:pPr>
            <w:r>
              <w:rPr>
                <w:b/>
                <w:sz w:val="16"/>
              </w:rPr>
              <w:t>zejména využití, u kterého existuje riziko, že:</w:t>
            </w:r>
          </w:p>
          <w:p>
            <w:pPr>
              <w:pStyle w:val="TableParagraph"/>
              <w:spacing w:before="61"/>
              <w:rPr>
                <w:sz w:val="16"/>
              </w:rPr>
            </w:pPr>
            <w:r>
              <w:rPr>
                <w:sz w:val="16"/>
              </w:rPr>
              <w:t>naruší kvalitu prostředí plochy veřejného prostranství</w:t>
            </w:r>
          </w:p>
          <w:p>
            <w:pPr>
              <w:pStyle w:val="TableParagraph"/>
              <w:spacing w:before="56"/>
              <w:ind w:right="201"/>
              <w:rPr>
                <w:sz w:val="16"/>
              </w:rPr>
            </w:pPr>
            <w:r>
              <w:rPr>
                <w:sz w:val="16"/>
              </w:rPr>
              <w:t>jeho nároky na kvalitu prostředí resp. pohodu bydlení omezí hlavní funkci plochy veřejného prostranství</w:t>
            </w:r>
          </w:p>
          <w:p>
            <w:pPr>
              <w:pStyle w:val="TableParagraph"/>
              <w:spacing w:line="168" w:lineRule="exact" w:before="57"/>
              <w:rPr>
                <w:sz w:val="16"/>
              </w:rPr>
            </w:pPr>
            <w:r>
              <w:rPr>
                <w:sz w:val="16"/>
              </w:rPr>
              <w:t>naruší celistvost a funkčnost plochy veřejného prostranství</w:t>
            </w:r>
          </w:p>
        </w:tc>
        <w:tc>
          <w:tcPr>
            <w:tcW w:w="5035" w:type="dxa"/>
          </w:tcPr>
          <w:p>
            <w:pPr>
              <w:pStyle w:val="TableParagraph"/>
              <w:ind w:left="0"/>
              <w:rPr>
                <w:rFonts w:ascii="Times New Roman"/>
                <w:sz w:val="16"/>
              </w:rPr>
            </w:pPr>
          </w:p>
        </w:tc>
      </w:tr>
    </w:tbl>
    <w:p>
      <w:pPr>
        <w:spacing w:after="0"/>
        <w:rPr>
          <w:rFonts w:ascii="Times New Roman"/>
          <w:sz w:val="16"/>
        </w:rPr>
        <w:sectPr>
          <w:pgSz w:w="11900" w:h="16840"/>
          <w:pgMar w:header="561" w:footer="582" w:top="760" w:bottom="780" w:left="960" w:right="980"/>
        </w:sectPr>
      </w:pPr>
    </w:p>
    <w:p>
      <w:pPr>
        <w:pStyle w:val="BodyText"/>
        <w:spacing w:before="5"/>
        <w:ind w:left="0" w:firstLine="0"/>
        <w:jc w:val="left"/>
        <w:rPr>
          <w:b/>
        </w:rPr>
      </w:pPr>
    </w:p>
    <w:p>
      <w:pPr>
        <w:spacing w:before="101"/>
        <w:ind w:left="1024" w:right="0" w:firstLine="0"/>
        <w:jc w:val="left"/>
        <w:rPr>
          <w:b/>
          <w:sz w:val="22"/>
        </w:rPr>
      </w:pPr>
      <w:r>
        <w:rPr>
          <w:b/>
          <w:sz w:val="22"/>
        </w:rPr>
        <w:t>NEZASTAVĚNÉ PLOCHY, NEZASTAVITELNÉ PLOCHY (PLOCHY ZMĚN V KRAJINĚ)</w:t>
      </w:r>
    </w:p>
    <w:p>
      <w:pPr>
        <w:pStyle w:val="BodyText"/>
        <w:spacing w:before="11"/>
        <w:ind w:left="0" w:firstLine="0"/>
        <w:jc w:val="left"/>
        <w:rPr>
          <w:b/>
          <w:sz w:val="10"/>
        </w:r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03"/>
        <w:gridCol w:w="5035"/>
      </w:tblGrid>
      <w:tr>
        <w:trPr>
          <w:trHeight w:val="309" w:hRule="atLeast"/>
        </w:trPr>
        <w:tc>
          <w:tcPr>
            <w:tcW w:w="4603" w:type="dxa"/>
            <w:shd w:val="clear" w:color="auto" w:fill="32CCCC"/>
          </w:tcPr>
          <w:p>
            <w:pPr>
              <w:pStyle w:val="TableParagraph"/>
              <w:spacing w:line="237" w:lineRule="exact" w:before="52"/>
              <w:rPr>
                <w:b/>
                <w:sz w:val="22"/>
              </w:rPr>
            </w:pPr>
            <w:r>
              <w:rPr>
                <w:b/>
                <w:sz w:val="22"/>
              </w:rPr>
              <w:t>PLOCHY VODNÍ A VODOHOSPODÁŘSKÉ</w:t>
            </w:r>
          </w:p>
        </w:tc>
        <w:tc>
          <w:tcPr>
            <w:tcW w:w="5035" w:type="dxa"/>
            <w:shd w:val="clear" w:color="auto" w:fill="32CCCC"/>
          </w:tcPr>
          <w:p>
            <w:pPr>
              <w:pStyle w:val="TableParagraph"/>
              <w:spacing w:line="237" w:lineRule="exact" w:before="52"/>
              <w:rPr>
                <w:b/>
                <w:sz w:val="22"/>
              </w:rPr>
            </w:pPr>
            <w:r>
              <w:rPr>
                <w:b/>
                <w:w w:val="100"/>
                <w:sz w:val="22"/>
              </w:rPr>
              <w:t>V</w:t>
            </w:r>
          </w:p>
        </w:tc>
      </w:tr>
      <w:tr>
        <w:trPr>
          <w:trHeight w:val="241" w:hRule="atLeast"/>
        </w:trPr>
        <w:tc>
          <w:tcPr>
            <w:tcW w:w="4603" w:type="dxa"/>
            <w:shd w:val="clear" w:color="auto" w:fill="CCFFFF"/>
          </w:tcPr>
          <w:p>
            <w:pPr>
              <w:pStyle w:val="TableParagraph"/>
              <w:spacing w:line="168" w:lineRule="exact" w:before="53"/>
              <w:rPr>
                <w:sz w:val="16"/>
              </w:rPr>
            </w:pPr>
            <w:r>
              <w:rPr>
                <w:sz w:val="16"/>
              </w:rPr>
              <w:t>pozemky pro stavby, zařízení, úpravy, kultury, činnosti</w:t>
            </w:r>
          </w:p>
        </w:tc>
        <w:tc>
          <w:tcPr>
            <w:tcW w:w="5035" w:type="dxa"/>
            <w:shd w:val="clear" w:color="auto" w:fill="CCFFFF"/>
          </w:tcPr>
          <w:p>
            <w:pPr>
              <w:pStyle w:val="TableParagraph"/>
              <w:ind w:left="0"/>
              <w:rPr>
                <w:rFonts w:ascii="Times New Roman"/>
                <w:sz w:val="16"/>
              </w:rPr>
            </w:pPr>
          </w:p>
        </w:tc>
      </w:tr>
      <w:tr>
        <w:trPr>
          <w:trHeight w:val="239" w:hRule="atLeast"/>
        </w:trPr>
        <w:tc>
          <w:tcPr>
            <w:tcW w:w="4603" w:type="dxa"/>
            <w:shd w:val="clear" w:color="auto" w:fill="CCFFFF"/>
          </w:tcPr>
          <w:p>
            <w:pPr>
              <w:pStyle w:val="TableParagraph"/>
              <w:spacing w:line="168" w:lineRule="exact" w:before="51"/>
              <w:rPr>
                <w:b/>
                <w:sz w:val="16"/>
              </w:rPr>
            </w:pPr>
            <w:r>
              <w:rPr>
                <w:b/>
                <w:sz w:val="16"/>
              </w:rPr>
              <w:t>HLAVNÍ VYUŽITÍ</w:t>
            </w:r>
          </w:p>
        </w:tc>
        <w:tc>
          <w:tcPr>
            <w:tcW w:w="5035" w:type="dxa"/>
            <w:shd w:val="clear" w:color="auto" w:fill="CCFFFF"/>
          </w:tcPr>
          <w:p>
            <w:pPr>
              <w:pStyle w:val="TableParagraph"/>
              <w:ind w:left="0"/>
              <w:rPr>
                <w:rFonts w:ascii="Times New Roman"/>
                <w:sz w:val="16"/>
              </w:rPr>
            </w:pPr>
          </w:p>
        </w:tc>
      </w:tr>
      <w:tr>
        <w:trPr>
          <w:trHeight w:val="481" w:hRule="atLeast"/>
        </w:trPr>
        <w:tc>
          <w:tcPr>
            <w:tcW w:w="4603" w:type="dxa"/>
          </w:tcPr>
          <w:p>
            <w:pPr>
              <w:pStyle w:val="TableParagraph"/>
              <w:spacing w:line="180" w:lineRule="atLeast" w:before="109"/>
              <w:ind w:right="131"/>
              <w:rPr>
                <w:sz w:val="16"/>
              </w:rPr>
            </w:pPr>
            <w:r>
              <w:rPr>
                <w:b/>
                <w:sz w:val="16"/>
              </w:rPr>
              <w:t>vodní plochy </w:t>
            </w:r>
            <w:r>
              <w:rPr>
                <w:sz w:val="16"/>
              </w:rPr>
              <w:t>- zejména řeky, potoky, umělé kanály, přírodní i umělé vodní nádrže, mokřady</w:t>
            </w:r>
          </w:p>
        </w:tc>
        <w:tc>
          <w:tcPr>
            <w:tcW w:w="5035" w:type="dxa"/>
          </w:tcPr>
          <w:p>
            <w:pPr>
              <w:pStyle w:val="TableParagraph"/>
              <w:ind w:left="0"/>
              <w:rPr>
                <w:rFonts w:ascii="Times New Roman"/>
                <w:sz w:val="16"/>
              </w:rPr>
            </w:pPr>
          </w:p>
        </w:tc>
      </w:tr>
      <w:tr>
        <w:trPr>
          <w:trHeight w:val="241" w:hRule="atLeast"/>
        </w:trPr>
        <w:tc>
          <w:tcPr>
            <w:tcW w:w="4603" w:type="dxa"/>
            <w:shd w:val="clear" w:color="auto" w:fill="CCFFFF"/>
          </w:tcPr>
          <w:p>
            <w:pPr>
              <w:pStyle w:val="TableParagraph"/>
              <w:spacing w:line="171" w:lineRule="exact" w:before="51"/>
              <w:rPr>
                <w:b/>
                <w:sz w:val="16"/>
              </w:rPr>
            </w:pPr>
            <w:r>
              <w:rPr>
                <w:b/>
                <w:sz w:val="16"/>
              </w:rPr>
              <w:t>PŘÍPUSTNÉ VYUŽITÍ</w:t>
            </w:r>
          </w:p>
        </w:tc>
        <w:tc>
          <w:tcPr>
            <w:tcW w:w="5035" w:type="dxa"/>
            <w:shd w:val="clear" w:color="auto" w:fill="CCFFFF"/>
          </w:tcPr>
          <w:p>
            <w:pPr>
              <w:pStyle w:val="TableParagraph"/>
              <w:ind w:left="0"/>
              <w:rPr>
                <w:rFonts w:ascii="Times New Roman"/>
                <w:sz w:val="16"/>
              </w:rPr>
            </w:pPr>
          </w:p>
        </w:tc>
      </w:tr>
      <w:tr>
        <w:trPr>
          <w:trHeight w:val="239" w:hRule="atLeast"/>
        </w:trPr>
        <w:tc>
          <w:tcPr>
            <w:tcW w:w="4603" w:type="dxa"/>
          </w:tcPr>
          <w:p>
            <w:pPr>
              <w:pStyle w:val="TableParagraph"/>
              <w:spacing w:line="166" w:lineRule="exact" w:before="53"/>
              <w:rPr>
                <w:sz w:val="16"/>
              </w:rPr>
            </w:pPr>
            <w:r>
              <w:rPr>
                <w:w w:val="100"/>
                <w:sz w:val="16"/>
              </w:rPr>
              <w:t>-</w:t>
            </w:r>
          </w:p>
        </w:tc>
        <w:tc>
          <w:tcPr>
            <w:tcW w:w="5035" w:type="dxa"/>
          </w:tcPr>
          <w:p>
            <w:pPr>
              <w:pStyle w:val="TableParagraph"/>
              <w:ind w:left="0"/>
              <w:rPr>
                <w:rFonts w:ascii="Times New Roman"/>
                <w:sz w:val="16"/>
              </w:rPr>
            </w:pPr>
          </w:p>
        </w:tc>
      </w:tr>
      <w:tr>
        <w:trPr>
          <w:trHeight w:val="1389" w:hRule="atLeast"/>
        </w:trPr>
        <w:tc>
          <w:tcPr>
            <w:tcW w:w="4603" w:type="dxa"/>
            <w:vMerge w:val="restart"/>
            <w:shd w:val="clear" w:color="auto" w:fill="CCFFFF"/>
          </w:tcPr>
          <w:p>
            <w:pPr>
              <w:pStyle w:val="TableParagraph"/>
              <w:spacing w:before="51"/>
              <w:rPr>
                <w:b/>
                <w:sz w:val="16"/>
              </w:rPr>
            </w:pPr>
            <w:r>
              <w:rPr>
                <w:b/>
                <w:sz w:val="16"/>
              </w:rPr>
              <w:t>PODMÍNĚNĚ PŘÍPUSTNÉ VYUŽITÍ</w:t>
            </w:r>
          </w:p>
        </w:tc>
        <w:tc>
          <w:tcPr>
            <w:tcW w:w="5035" w:type="dxa"/>
            <w:shd w:val="clear" w:color="auto" w:fill="CCFFFF"/>
          </w:tcPr>
          <w:p>
            <w:pPr>
              <w:pStyle w:val="TableParagraph"/>
              <w:spacing w:line="244" w:lineRule="auto" w:before="51"/>
              <w:ind w:right="260"/>
              <w:rPr>
                <w:sz w:val="16"/>
              </w:rPr>
            </w:pPr>
            <w:r>
              <w:rPr>
                <w:b/>
                <w:sz w:val="16"/>
              </w:rPr>
              <w:t>obecné podmínky: </w:t>
            </w:r>
            <w:r>
              <w:rPr>
                <w:sz w:val="16"/>
              </w:rPr>
              <w:t>prokázat přiměřenost jeho dopadů ve vztahu k hlavnímu a přípustnému využití z hlediska:</w:t>
            </w:r>
          </w:p>
          <w:p>
            <w:pPr>
              <w:pStyle w:val="TableParagraph"/>
              <w:spacing w:before="52"/>
              <w:rPr>
                <w:sz w:val="16"/>
              </w:rPr>
            </w:pPr>
            <w:r>
              <w:rPr>
                <w:sz w:val="16"/>
              </w:rPr>
              <w:t>významu v širším území</w:t>
            </w:r>
          </w:p>
          <w:p>
            <w:pPr>
              <w:pStyle w:val="TableParagraph"/>
              <w:spacing w:line="312" w:lineRule="auto" w:before="58"/>
              <w:ind w:right="1496"/>
              <w:rPr>
                <w:sz w:val="16"/>
              </w:rPr>
            </w:pPr>
            <w:r>
              <w:rPr>
                <w:sz w:val="16"/>
              </w:rPr>
              <w:t>narušení kvality prostředí resp. pohody bydlení charakteru a kapacity napojení na infrastrukturu</w:t>
            </w:r>
          </w:p>
          <w:p>
            <w:pPr>
              <w:pStyle w:val="TableParagraph"/>
              <w:spacing w:line="166" w:lineRule="exact" w:before="4"/>
              <w:rPr>
                <w:sz w:val="16"/>
              </w:rPr>
            </w:pPr>
            <w:r>
              <w:rPr>
                <w:sz w:val="16"/>
              </w:rPr>
              <w:t>vyvolaných omezení ve smyslu hygienických a dalších předpisů</w:t>
            </w:r>
          </w:p>
        </w:tc>
      </w:tr>
      <w:tr>
        <w:trPr>
          <w:trHeight w:val="241" w:hRule="atLeast"/>
        </w:trPr>
        <w:tc>
          <w:tcPr>
            <w:tcW w:w="4603" w:type="dxa"/>
            <w:vMerge/>
            <w:tcBorders>
              <w:top w:val="nil"/>
            </w:tcBorders>
            <w:shd w:val="clear" w:color="auto" w:fill="CCFFFF"/>
          </w:tcPr>
          <w:p>
            <w:pPr>
              <w:rPr>
                <w:sz w:val="2"/>
                <w:szCs w:val="2"/>
              </w:rPr>
            </w:pPr>
          </w:p>
        </w:tc>
        <w:tc>
          <w:tcPr>
            <w:tcW w:w="5035" w:type="dxa"/>
            <w:shd w:val="clear" w:color="auto" w:fill="CCFFFF"/>
          </w:tcPr>
          <w:p>
            <w:pPr>
              <w:pStyle w:val="TableParagraph"/>
              <w:spacing w:line="171" w:lineRule="exact" w:before="51"/>
              <w:rPr>
                <w:b/>
                <w:sz w:val="16"/>
              </w:rPr>
            </w:pPr>
            <w:r>
              <w:rPr>
                <w:b/>
                <w:sz w:val="16"/>
              </w:rPr>
              <w:t>specifické podmínky:</w:t>
            </w:r>
          </w:p>
        </w:tc>
      </w:tr>
      <w:tr>
        <w:trPr>
          <w:trHeight w:val="2421" w:hRule="atLeast"/>
        </w:trPr>
        <w:tc>
          <w:tcPr>
            <w:tcW w:w="4603" w:type="dxa"/>
          </w:tcPr>
          <w:p>
            <w:pPr>
              <w:pStyle w:val="TableParagraph"/>
              <w:spacing w:before="106"/>
              <w:ind w:left="131" w:right="155"/>
              <w:rPr>
                <w:sz w:val="16"/>
              </w:rPr>
            </w:pPr>
            <w:r>
              <w:rPr>
                <w:b/>
                <w:sz w:val="16"/>
              </w:rPr>
              <w:t>vodní hospodářství, energetika, doprava, rekreace, chov ryb a vodních ptáků </w:t>
            </w:r>
            <w:r>
              <w:rPr>
                <w:sz w:val="16"/>
              </w:rPr>
              <w:t>- zejména hráze, zdrže, jezy, mola, přístaviště, zařízení k využití vodní energie</w:t>
            </w:r>
          </w:p>
          <w:p>
            <w:pPr>
              <w:pStyle w:val="TableParagraph"/>
              <w:spacing w:before="113"/>
              <w:ind w:left="131" w:right="439"/>
              <w:rPr>
                <w:sz w:val="16"/>
              </w:rPr>
            </w:pPr>
            <w:r>
              <w:rPr>
                <w:b/>
                <w:sz w:val="16"/>
              </w:rPr>
              <w:t>přístřešky </w:t>
            </w:r>
            <w:r>
              <w:rPr>
                <w:sz w:val="16"/>
              </w:rPr>
              <w:t>pro obsluhu, občerstvení a hygienu, pro chov vodních hospodářských zvířat, pro uskladnění surovin a produktů</w:t>
            </w:r>
          </w:p>
          <w:p>
            <w:pPr>
              <w:pStyle w:val="TableParagraph"/>
              <w:spacing w:before="113"/>
              <w:ind w:left="131" w:right="360"/>
              <w:rPr>
                <w:sz w:val="16"/>
              </w:rPr>
            </w:pPr>
            <w:r>
              <w:rPr>
                <w:b/>
                <w:sz w:val="16"/>
              </w:rPr>
              <w:t>zajištění vodního hospodářství </w:t>
            </w:r>
            <w:r>
              <w:rPr>
                <w:sz w:val="16"/>
              </w:rPr>
              <w:t>- technologická zařízení např. sloužící k pozorování stavu povrchových nebo podzemních vod</w:t>
            </w:r>
          </w:p>
        </w:tc>
        <w:tc>
          <w:tcPr>
            <w:tcW w:w="5035" w:type="dxa"/>
          </w:tcPr>
          <w:p>
            <w:pPr>
              <w:pStyle w:val="TableParagraph"/>
              <w:spacing w:before="53"/>
              <w:ind w:right="918"/>
              <w:rPr>
                <w:sz w:val="16"/>
              </w:rPr>
            </w:pPr>
            <w:r>
              <w:rPr>
                <w:sz w:val="16"/>
              </w:rPr>
              <w:t>slouží bezprostředně k zajištění hlavního, přípustného a podmíněně přípustného využití dané plochy</w:t>
            </w:r>
          </w:p>
          <w:p>
            <w:pPr>
              <w:pStyle w:val="TableParagraph"/>
              <w:spacing w:before="57"/>
              <w:ind w:right="437"/>
              <w:rPr>
                <w:sz w:val="16"/>
              </w:rPr>
            </w:pPr>
            <w:r>
              <w:rPr>
                <w:sz w:val="16"/>
              </w:rPr>
              <w:t>charakterem a kapacitou odpovídají charakteru a výměře dané plochy</w:t>
            </w:r>
          </w:p>
          <w:p>
            <w:pPr>
              <w:pStyle w:val="TableParagraph"/>
              <w:spacing w:before="112"/>
              <w:ind w:right="437"/>
              <w:rPr>
                <w:sz w:val="16"/>
              </w:rPr>
            </w:pPr>
            <w:r>
              <w:rPr>
                <w:sz w:val="16"/>
              </w:rPr>
              <w:t>jsou technologicky přímo vázané na dané stanoviště a nelze je odůvodněně umístit v příslušných zastavitelných plochách</w:t>
            </w:r>
          </w:p>
          <w:p>
            <w:pPr>
              <w:pStyle w:val="TableParagraph"/>
              <w:spacing w:before="57"/>
              <w:rPr>
                <w:sz w:val="16"/>
              </w:rPr>
            </w:pPr>
            <w:r>
              <w:rPr>
                <w:sz w:val="16"/>
              </w:rPr>
              <w:t>budou splněny požadavky na celistvost a funkčnost dané plochy</w:t>
            </w:r>
          </w:p>
          <w:p>
            <w:pPr>
              <w:pStyle w:val="TableParagraph"/>
              <w:spacing w:before="59"/>
              <w:ind w:right="562"/>
              <w:rPr>
                <w:sz w:val="16"/>
              </w:rPr>
            </w:pPr>
            <w:r>
              <w:rPr>
                <w:sz w:val="16"/>
              </w:rPr>
              <w:t>nebude narušen krajinný ráz, protierozní ochrana a odtokové poměry a prostupnost krajiny</w:t>
            </w:r>
          </w:p>
          <w:p>
            <w:pPr>
              <w:pStyle w:val="TableParagraph"/>
              <w:spacing w:line="182" w:lineRule="exact" w:before="61"/>
              <w:ind w:right="295"/>
              <w:rPr>
                <w:sz w:val="16"/>
              </w:rPr>
            </w:pPr>
            <w:r>
              <w:rPr>
                <w:sz w:val="16"/>
              </w:rPr>
              <w:t>na území CHKO JH a Přírodního parku Ještěd nebude narušena ekologická funkce krajiny</w:t>
            </w:r>
          </w:p>
        </w:tc>
      </w:tr>
      <w:tr>
        <w:trPr>
          <w:trHeight w:val="527" w:hRule="atLeast"/>
        </w:trPr>
        <w:tc>
          <w:tcPr>
            <w:tcW w:w="4603" w:type="dxa"/>
          </w:tcPr>
          <w:p>
            <w:pPr>
              <w:pStyle w:val="TableParagraph"/>
              <w:spacing w:before="106"/>
              <w:rPr>
                <w:b/>
                <w:sz w:val="16"/>
              </w:rPr>
            </w:pPr>
            <w:r>
              <w:rPr>
                <w:b/>
                <w:sz w:val="16"/>
              </w:rPr>
              <w:t>liniové stavby technické infrastruktury nadřazených systémů</w:t>
            </w:r>
          </w:p>
        </w:tc>
        <w:tc>
          <w:tcPr>
            <w:tcW w:w="5035" w:type="dxa"/>
          </w:tcPr>
          <w:p>
            <w:pPr>
              <w:pStyle w:val="TableParagraph"/>
              <w:spacing w:line="264" w:lineRule="exact" w:before="14"/>
              <w:ind w:right="1959"/>
              <w:rPr>
                <w:sz w:val="16"/>
              </w:rPr>
            </w:pPr>
            <w:r>
              <w:rPr>
                <w:sz w:val="16"/>
              </w:rPr>
              <w:t>souvisí bezprostředně s provozem města nenaruší krajinný ráz</w:t>
            </w:r>
          </w:p>
        </w:tc>
      </w:tr>
      <w:tr>
        <w:trPr>
          <w:trHeight w:val="777" w:hRule="atLeast"/>
        </w:trPr>
        <w:tc>
          <w:tcPr>
            <w:tcW w:w="4603" w:type="dxa"/>
          </w:tcPr>
          <w:p>
            <w:pPr>
              <w:pStyle w:val="TableParagraph"/>
              <w:spacing w:before="92"/>
              <w:ind w:right="576"/>
              <w:rPr>
                <w:b/>
                <w:sz w:val="16"/>
              </w:rPr>
            </w:pPr>
            <w:r>
              <w:rPr>
                <w:b/>
                <w:sz w:val="16"/>
              </w:rPr>
              <w:t>plošně nenáročná zařízení technické infrastruktury nadřazených systémů</w:t>
            </w:r>
          </w:p>
        </w:tc>
        <w:tc>
          <w:tcPr>
            <w:tcW w:w="5035" w:type="dxa"/>
          </w:tcPr>
          <w:p>
            <w:pPr>
              <w:pStyle w:val="TableParagraph"/>
              <w:spacing w:before="61"/>
              <w:rPr>
                <w:sz w:val="16"/>
              </w:rPr>
            </w:pPr>
            <w:r>
              <w:rPr>
                <w:sz w:val="16"/>
              </w:rPr>
              <w:t>plocha nepřesáhne 300 m</w:t>
            </w:r>
            <w:r>
              <w:rPr>
                <w:sz w:val="16"/>
                <w:vertAlign w:val="superscript"/>
              </w:rPr>
              <w:t>2</w:t>
            </w:r>
          </w:p>
          <w:p>
            <w:pPr>
              <w:pStyle w:val="TableParagraph"/>
              <w:spacing w:line="260" w:lineRule="atLeast" w:before="4"/>
              <w:ind w:right="1959"/>
              <w:rPr>
                <w:sz w:val="16"/>
              </w:rPr>
            </w:pPr>
            <w:r>
              <w:rPr>
                <w:sz w:val="16"/>
              </w:rPr>
              <w:t>souvisí bezprostředně s provozem města nenaruší krajinný ráz</w:t>
            </w:r>
          </w:p>
        </w:tc>
      </w:tr>
      <w:tr>
        <w:trPr>
          <w:trHeight w:val="3457" w:hRule="atLeast"/>
        </w:trPr>
        <w:tc>
          <w:tcPr>
            <w:tcW w:w="4603" w:type="dxa"/>
          </w:tcPr>
          <w:p>
            <w:pPr>
              <w:pStyle w:val="TableParagraph"/>
              <w:spacing w:before="106"/>
              <w:rPr>
                <w:b/>
                <w:sz w:val="16"/>
              </w:rPr>
            </w:pPr>
            <w:r>
              <w:rPr>
                <w:b/>
                <w:sz w:val="16"/>
              </w:rPr>
              <w:t>základní vybavenost území</w:t>
            </w:r>
          </w:p>
          <w:p>
            <w:pPr>
              <w:pStyle w:val="TableParagraph"/>
              <w:spacing w:before="61"/>
              <w:ind w:right="246"/>
              <w:rPr>
                <w:sz w:val="16"/>
              </w:rPr>
            </w:pPr>
            <w:r>
              <w:rPr>
                <w:sz w:val="16"/>
              </w:rPr>
              <w:t>terénní úpravy kromě těžebních prací a skládek odpadů, opěrné zdi, propustky a přemostění, oplocenky a ohradníky</w:t>
            </w:r>
          </w:p>
          <w:p>
            <w:pPr>
              <w:pStyle w:val="TableParagraph"/>
              <w:spacing w:before="57"/>
              <w:ind w:right="118" w:hanging="1"/>
              <w:rPr>
                <w:sz w:val="16"/>
              </w:rPr>
            </w:pPr>
            <w:r>
              <w:rPr>
                <w:sz w:val="16"/>
              </w:rPr>
              <w:t>vodní toky a vodní plochy do 2 000 m</w:t>
            </w:r>
            <w:r>
              <w:rPr>
                <w:sz w:val="16"/>
                <w:vertAlign w:val="superscript"/>
              </w:rPr>
              <w:t>2</w:t>
            </w:r>
            <w:r>
              <w:rPr>
                <w:sz w:val="16"/>
                <w:vertAlign w:val="baseline"/>
              </w:rPr>
              <w:t>, plošné a liniové prvky ochranné a doprovodné zeleně vč. biokoridorů ÚSES a IP</w:t>
            </w:r>
          </w:p>
          <w:p>
            <w:pPr>
              <w:pStyle w:val="TableParagraph"/>
              <w:spacing w:before="57"/>
              <w:ind w:right="264" w:hanging="1"/>
              <w:rPr>
                <w:sz w:val="16"/>
              </w:rPr>
            </w:pPr>
            <w:r>
              <w:rPr>
                <w:sz w:val="16"/>
              </w:rPr>
              <w:t>veřejná prostranství - místní komunikace zpřístupňující objekty a pozemky v ploše, komunikace, pobytové prostory s vyloučením motorové dopravy, zastávky VDO</w:t>
            </w:r>
          </w:p>
          <w:p>
            <w:pPr>
              <w:pStyle w:val="TableParagraph"/>
              <w:spacing w:before="57"/>
              <w:ind w:right="156"/>
              <w:rPr>
                <w:sz w:val="16"/>
              </w:rPr>
            </w:pPr>
            <w:r>
              <w:rPr>
                <w:sz w:val="16"/>
              </w:rPr>
              <w:t>technická Infrastruktura - liniové stavby a plošně nenáročná zařízení vodovodů, kanalizace, produktovodů, energetických zařízení vč. obnovitelných zdrojů, elektronických komunikací</w:t>
            </w:r>
          </w:p>
          <w:p>
            <w:pPr>
              <w:pStyle w:val="TableParagraph"/>
              <w:spacing w:before="58"/>
              <w:ind w:right="940"/>
              <w:rPr>
                <w:sz w:val="16"/>
              </w:rPr>
            </w:pPr>
            <w:r>
              <w:rPr>
                <w:sz w:val="16"/>
              </w:rPr>
              <w:t>rekreační využití krajiny – mobiliář, stavby drobné architektury do 10 m</w:t>
            </w:r>
            <w:r>
              <w:rPr>
                <w:sz w:val="16"/>
                <w:vertAlign w:val="superscript"/>
              </w:rPr>
              <w:t>2</w:t>
            </w:r>
            <w:r>
              <w:rPr>
                <w:sz w:val="16"/>
                <w:vertAlign w:val="baseline"/>
              </w:rPr>
              <w:t> bez pobytových místností</w:t>
            </w:r>
          </w:p>
          <w:p>
            <w:pPr>
              <w:pStyle w:val="TableParagraph"/>
              <w:spacing w:before="57"/>
              <w:ind w:right="335"/>
              <w:rPr>
                <w:sz w:val="16"/>
              </w:rPr>
            </w:pPr>
            <w:r>
              <w:rPr>
                <w:sz w:val="16"/>
              </w:rPr>
              <w:t>informační zařízení, která zlepšují podmínky využití území pro účely rekreace a cestovního ruchu</w:t>
            </w:r>
          </w:p>
          <w:p>
            <w:pPr>
              <w:pStyle w:val="TableParagraph"/>
              <w:spacing w:line="166" w:lineRule="exact" w:before="59"/>
              <w:rPr>
                <w:sz w:val="16"/>
              </w:rPr>
            </w:pPr>
            <w:r>
              <w:rPr>
                <w:sz w:val="16"/>
              </w:rPr>
              <w:t>ochrana před povodněmi, erozí, hlukem, exhalacemi</w:t>
            </w:r>
          </w:p>
        </w:tc>
        <w:tc>
          <w:tcPr>
            <w:tcW w:w="5035" w:type="dxa"/>
          </w:tcPr>
          <w:p>
            <w:pPr>
              <w:pStyle w:val="TableParagraph"/>
              <w:spacing w:before="53"/>
              <w:ind w:right="918"/>
              <w:rPr>
                <w:sz w:val="16"/>
              </w:rPr>
            </w:pPr>
            <w:r>
              <w:rPr>
                <w:sz w:val="16"/>
              </w:rPr>
              <w:t>slouží bezprostředně k zajištění hlavního, přípustného a podmíněně přípustného využití dané plochy</w:t>
            </w:r>
          </w:p>
          <w:p>
            <w:pPr>
              <w:pStyle w:val="TableParagraph"/>
              <w:spacing w:before="57"/>
              <w:ind w:right="437"/>
              <w:rPr>
                <w:sz w:val="16"/>
              </w:rPr>
            </w:pPr>
            <w:r>
              <w:rPr>
                <w:sz w:val="16"/>
              </w:rPr>
              <w:t>charakterem a kapacitou odpovídají charakteru a výměře dané plochy</w:t>
            </w:r>
          </w:p>
          <w:p>
            <w:pPr>
              <w:pStyle w:val="TableParagraph"/>
              <w:spacing w:before="57"/>
              <w:ind w:right="437"/>
              <w:rPr>
                <w:sz w:val="16"/>
              </w:rPr>
            </w:pPr>
            <w:r>
              <w:rPr>
                <w:sz w:val="16"/>
              </w:rPr>
              <w:t>jsou technologicky přímo vázané na dané stanoviště a nelze je odůvodněně umístit v příslušných zastavitelných plochách</w:t>
            </w:r>
          </w:p>
          <w:p>
            <w:pPr>
              <w:pStyle w:val="TableParagraph"/>
              <w:spacing w:before="59"/>
              <w:rPr>
                <w:sz w:val="16"/>
              </w:rPr>
            </w:pPr>
            <w:r>
              <w:rPr>
                <w:sz w:val="16"/>
              </w:rPr>
              <w:t>budou splněny požadavky na celistvost a funkčnost dané plochy</w:t>
            </w:r>
          </w:p>
          <w:p>
            <w:pPr>
              <w:pStyle w:val="TableParagraph"/>
              <w:spacing w:before="56"/>
              <w:ind w:right="562"/>
              <w:rPr>
                <w:sz w:val="16"/>
              </w:rPr>
            </w:pPr>
            <w:r>
              <w:rPr>
                <w:sz w:val="16"/>
              </w:rPr>
              <w:t>nebude narušen krajinný ráz, protierozní ochrana a odtokové poměry a prostupnost krajiny</w:t>
            </w:r>
          </w:p>
          <w:p>
            <w:pPr>
              <w:pStyle w:val="TableParagraph"/>
              <w:spacing w:before="57"/>
              <w:ind w:right="295"/>
              <w:rPr>
                <w:sz w:val="16"/>
              </w:rPr>
            </w:pPr>
            <w:r>
              <w:rPr>
                <w:sz w:val="16"/>
              </w:rPr>
              <w:t>na území CHKO JH a Přírodního parku Ještěd nebude narušena ekologická funkce krajiny</w:t>
            </w:r>
          </w:p>
        </w:tc>
      </w:tr>
      <w:tr>
        <w:trPr>
          <w:trHeight w:val="297" w:hRule="atLeast"/>
        </w:trPr>
        <w:tc>
          <w:tcPr>
            <w:tcW w:w="4603" w:type="dxa"/>
            <w:shd w:val="clear" w:color="auto" w:fill="CCFFFF"/>
          </w:tcPr>
          <w:p>
            <w:pPr>
              <w:pStyle w:val="TableParagraph"/>
              <w:spacing w:line="168" w:lineRule="exact" w:before="109"/>
              <w:rPr>
                <w:b/>
                <w:sz w:val="16"/>
              </w:rPr>
            </w:pPr>
            <w:r>
              <w:rPr>
                <w:b/>
                <w:sz w:val="16"/>
              </w:rPr>
              <w:t>NEPŘÍPUSTNÉ VYUŽITÍ</w:t>
            </w:r>
          </w:p>
        </w:tc>
        <w:tc>
          <w:tcPr>
            <w:tcW w:w="5035" w:type="dxa"/>
            <w:shd w:val="clear" w:color="auto" w:fill="CCFFFF"/>
          </w:tcPr>
          <w:p>
            <w:pPr>
              <w:pStyle w:val="TableParagraph"/>
              <w:ind w:left="0"/>
              <w:rPr>
                <w:rFonts w:ascii="Times New Roman"/>
                <w:sz w:val="16"/>
              </w:rPr>
            </w:pPr>
          </w:p>
        </w:tc>
      </w:tr>
      <w:tr>
        <w:trPr>
          <w:trHeight w:val="964" w:hRule="atLeast"/>
        </w:trPr>
        <w:tc>
          <w:tcPr>
            <w:tcW w:w="4603" w:type="dxa"/>
          </w:tcPr>
          <w:p>
            <w:pPr>
              <w:pStyle w:val="TableParagraph"/>
              <w:spacing w:before="109"/>
              <w:rPr>
                <w:b/>
                <w:sz w:val="16"/>
              </w:rPr>
            </w:pPr>
            <w:r>
              <w:rPr>
                <w:b/>
                <w:sz w:val="16"/>
              </w:rPr>
              <w:t>zejména využití, u kterého existuje riziko, že:</w:t>
            </w:r>
          </w:p>
          <w:p>
            <w:pPr>
              <w:pStyle w:val="TableParagraph"/>
              <w:spacing w:before="58"/>
              <w:rPr>
                <w:sz w:val="16"/>
              </w:rPr>
            </w:pPr>
            <w:r>
              <w:rPr>
                <w:sz w:val="16"/>
              </w:rPr>
              <w:t>naruší kvalitu prostředí plochy vodní a vodohospodářské</w:t>
            </w:r>
          </w:p>
          <w:p>
            <w:pPr>
              <w:pStyle w:val="TableParagraph"/>
              <w:spacing w:line="182" w:lineRule="exact" w:before="63"/>
              <w:ind w:right="1357"/>
              <w:rPr>
                <w:sz w:val="16"/>
              </w:rPr>
            </w:pPr>
            <w:r>
              <w:rPr>
                <w:sz w:val="16"/>
              </w:rPr>
              <w:t>naruší celistvost a funkčnost plochy vodní a vodohospodářské</w:t>
            </w:r>
          </w:p>
        </w:tc>
        <w:tc>
          <w:tcPr>
            <w:tcW w:w="5035" w:type="dxa"/>
          </w:tcPr>
          <w:p>
            <w:pPr>
              <w:pStyle w:val="TableParagraph"/>
              <w:ind w:left="0"/>
              <w:rPr>
                <w:rFonts w:ascii="Times New Roman"/>
                <w:sz w:val="16"/>
              </w:rPr>
            </w:pPr>
          </w:p>
        </w:tc>
      </w:tr>
    </w:tbl>
    <w:p>
      <w:pPr>
        <w:spacing w:after="0"/>
        <w:rPr>
          <w:rFonts w:ascii="Times New Roman"/>
          <w:sz w:val="16"/>
        </w:rPr>
        <w:sectPr>
          <w:pgSz w:w="11900" w:h="16840"/>
          <w:pgMar w:header="561" w:footer="582" w:top="760" w:bottom="780" w:left="960" w:right="980"/>
        </w:sectPr>
      </w:pPr>
    </w:p>
    <w:p>
      <w:pPr>
        <w:pStyle w:val="BodyText"/>
        <w:ind w:left="0" w:firstLine="0"/>
        <w:jc w:val="left"/>
        <w:rPr>
          <w:b/>
          <w:sz w:val="20"/>
        </w:rPr>
      </w:pPr>
    </w:p>
    <w:p>
      <w:pPr>
        <w:pStyle w:val="BodyText"/>
        <w:spacing w:before="7"/>
        <w:ind w:left="0" w:firstLine="0"/>
        <w:jc w:val="left"/>
        <w:rPr>
          <w:b/>
          <w:sz w:val="11"/>
        </w:r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03"/>
        <w:gridCol w:w="5035"/>
      </w:tblGrid>
      <w:tr>
        <w:trPr>
          <w:trHeight w:val="311" w:hRule="atLeast"/>
        </w:trPr>
        <w:tc>
          <w:tcPr>
            <w:tcW w:w="4603" w:type="dxa"/>
            <w:shd w:val="clear" w:color="auto" w:fill="32CCCC"/>
          </w:tcPr>
          <w:p>
            <w:pPr>
              <w:pStyle w:val="TableParagraph"/>
              <w:spacing w:line="237" w:lineRule="exact" w:before="55"/>
              <w:rPr>
                <w:b/>
                <w:sz w:val="22"/>
              </w:rPr>
            </w:pPr>
            <w:r>
              <w:rPr>
                <w:b/>
                <w:sz w:val="22"/>
              </w:rPr>
              <w:t>PLOCHY ZEMĚDĚLSKÉ</w:t>
            </w:r>
          </w:p>
        </w:tc>
        <w:tc>
          <w:tcPr>
            <w:tcW w:w="5035" w:type="dxa"/>
            <w:shd w:val="clear" w:color="auto" w:fill="32CCCC"/>
          </w:tcPr>
          <w:p>
            <w:pPr>
              <w:pStyle w:val="TableParagraph"/>
              <w:spacing w:line="237" w:lineRule="exact" w:before="55"/>
              <w:rPr>
                <w:b/>
                <w:sz w:val="22"/>
              </w:rPr>
            </w:pPr>
            <w:r>
              <w:rPr>
                <w:b/>
                <w:w w:val="100"/>
                <w:sz w:val="22"/>
              </w:rPr>
              <w:t>K</w:t>
            </w:r>
          </w:p>
        </w:tc>
      </w:tr>
      <w:tr>
        <w:trPr>
          <w:trHeight w:val="239" w:hRule="atLeast"/>
        </w:trPr>
        <w:tc>
          <w:tcPr>
            <w:tcW w:w="4603" w:type="dxa"/>
            <w:shd w:val="clear" w:color="auto" w:fill="CCFFFF"/>
          </w:tcPr>
          <w:p>
            <w:pPr>
              <w:pStyle w:val="TableParagraph"/>
              <w:spacing w:line="166" w:lineRule="exact" w:before="53"/>
              <w:rPr>
                <w:sz w:val="16"/>
              </w:rPr>
            </w:pPr>
            <w:r>
              <w:rPr>
                <w:sz w:val="16"/>
              </w:rPr>
              <w:t>pozemky pro stavby, zařízení, úpravy, kultury, činnosti</w:t>
            </w:r>
          </w:p>
        </w:tc>
        <w:tc>
          <w:tcPr>
            <w:tcW w:w="5035" w:type="dxa"/>
            <w:shd w:val="clear" w:color="auto" w:fill="CCFFFF"/>
          </w:tcPr>
          <w:p>
            <w:pPr>
              <w:pStyle w:val="TableParagraph"/>
              <w:ind w:left="0"/>
              <w:rPr>
                <w:rFonts w:ascii="Times New Roman"/>
                <w:sz w:val="16"/>
              </w:rPr>
            </w:pPr>
          </w:p>
        </w:tc>
      </w:tr>
      <w:tr>
        <w:trPr>
          <w:trHeight w:val="241" w:hRule="atLeast"/>
        </w:trPr>
        <w:tc>
          <w:tcPr>
            <w:tcW w:w="4603" w:type="dxa"/>
            <w:shd w:val="clear" w:color="auto" w:fill="CCFFFF"/>
          </w:tcPr>
          <w:p>
            <w:pPr>
              <w:pStyle w:val="TableParagraph"/>
              <w:spacing w:line="168" w:lineRule="exact" w:before="53"/>
              <w:rPr>
                <w:b/>
                <w:sz w:val="16"/>
              </w:rPr>
            </w:pPr>
            <w:r>
              <w:rPr>
                <w:b/>
                <w:sz w:val="16"/>
              </w:rPr>
              <w:t>HLAVNÍ VYUŽITÍ</w:t>
            </w:r>
          </w:p>
        </w:tc>
        <w:tc>
          <w:tcPr>
            <w:tcW w:w="5035" w:type="dxa"/>
            <w:shd w:val="clear" w:color="auto" w:fill="CCFFFF"/>
          </w:tcPr>
          <w:p>
            <w:pPr>
              <w:pStyle w:val="TableParagraph"/>
              <w:ind w:left="0"/>
              <w:rPr>
                <w:rFonts w:ascii="Times New Roman"/>
                <w:sz w:val="16"/>
              </w:rPr>
            </w:pPr>
          </w:p>
        </w:tc>
      </w:tr>
      <w:tr>
        <w:trPr>
          <w:trHeight w:val="609" w:hRule="atLeast"/>
        </w:trPr>
        <w:tc>
          <w:tcPr>
            <w:tcW w:w="4603" w:type="dxa"/>
          </w:tcPr>
          <w:p>
            <w:pPr>
              <w:pStyle w:val="TableParagraph"/>
              <w:spacing w:before="51"/>
              <w:ind w:left="155"/>
              <w:rPr>
                <w:sz w:val="16"/>
              </w:rPr>
            </w:pPr>
            <w:r>
              <w:rPr>
                <w:b/>
                <w:sz w:val="16"/>
              </w:rPr>
              <w:t>zemědělský půdní fond dle evidence KN </w:t>
            </w:r>
            <w:r>
              <w:rPr>
                <w:sz w:val="16"/>
              </w:rPr>
              <w:t>- zejména orná</w:t>
            </w:r>
          </w:p>
          <w:p>
            <w:pPr>
              <w:pStyle w:val="TableParagraph"/>
              <w:spacing w:line="182" w:lineRule="exact" w:before="8"/>
              <w:ind w:left="155" w:right="576"/>
              <w:rPr>
                <w:sz w:val="16"/>
              </w:rPr>
            </w:pPr>
            <w:r>
              <w:rPr>
                <w:sz w:val="16"/>
              </w:rPr>
              <w:t>půda, trvalé travní porosty (louky a pastviny), zahrady, ovocné sady</w:t>
            </w:r>
          </w:p>
        </w:tc>
        <w:tc>
          <w:tcPr>
            <w:tcW w:w="5035" w:type="dxa"/>
          </w:tcPr>
          <w:p>
            <w:pPr>
              <w:pStyle w:val="TableParagraph"/>
              <w:ind w:left="0"/>
              <w:rPr>
                <w:rFonts w:ascii="Times New Roman"/>
                <w:sz w:val="16"/>
              </w:rPr>
            </w:pPr>
          </w:p>
        </w:tc>
      </w:tr>
      <w:tr>
        <w:trPr>
          <w:trHeight w:val="239" w:hRule="atLeast"/>
        </w:trPr>
        <w:tc>
          <w:tcPr>
            <w:tcW w:w="4603" w:type="dxa"/>
            <w:shd w:val="clear" w:color="auto" w:fill="CCFFFF"/>
          </w:tcPr>
          <w:p>
            <w:pPr>
              <w:pStyle w:val="TableParagraph"/>
              <w:spacing w:line="168" w:lineRule="exact" w:before="51"/>
              <w:rPr>
                <w:b/>
                <w:sz w:val="16"/>
              </w:rPr>
            </w:pPr>
            <w:r>
              <w:rPr>
                <w:b/>
                <w:sz w:val="16"/>
              </w:rPr>
              <w:t>PŘÍPUSTNÉ VYUŽITÍ</w:t>
            </w:r>
          </w:p>
        </w:tc>
        <w:tc>
          <w:tcPr>
            <w:tcW w:w="5035" w:type="dxa"/>
            <w:shd w:val="clear" w:color="auto" w:fill="CCFFFF"/>
          </w:tcPr>
          <w:p>
            <w:pPr>
              <w:pStyle w:val="TableParagraph"/>
              <w:ind w:left="0"/>
              <w:rPr>
                <w:rFonts w:ascii="Times New Roman"/>
                <w:sz w:val="16"/>
              </w:rPr>
            </w:pPr>
          </w:p>
        </w:tc>
      </w:tr>
      <w:tr>
        <w:trPr>
          <w:trHeight w:val="609" w:hRule="atLeast"/>
        </w:trPr>
        <w:tc>
          <w:tcPr>
            <w:tcW w:w="4603" w:type="dxa"/>
          </w:tcPr>
          <w:p>
            <w:pPr>
              <w:pStyle w:val="TableParagraph"/>
              <w:spacing w:line="180" w:lineRule="atLeast" w:before="53"/>
              <w:ind w:left="155" w:right="292"/>
              <w:rPr>
                <w:sz w:val="16"/>
              </w:rPr>
            </w:pPr>
            <w:r>
              <w:rPr>
                <w:b/>
                <w:sz w:val="16"/>
              </w:rPr>
              <w:t>přírodní a přírodě blízké nelesní ekosystémy </w:t>
            </w:r>
            <w:r>
              <w:rPr>
                <w:sz w:val="16"/>
              </w:rPr>
              <w:t>- zejména extenzivní louky a pastviny, remízky, břehové porosty, mokřady, stromořadí a ostatní krajinná zeleň</w:t>
            </w:r>
          </w:p>
        </w:tc>
        <w:tc>
          <w:tcPr>
            <w:tcW w:w="5035" w:type="dxa"/>
          </w:tcPr>
          <w:p>
            <w:pPr>
              <w:pStyle w:val="TableParagraph"/>
              <w:ind w:left="0"/>
              <w:rPr>
                <w:rFonts w:ascii="Times New Roman"/>
                <w:sz w:val="16"/>
              </w:rPr>
            </w:pPr>
          </w:p>
        </w:tc>
      </w:tr>
      <w:tr>
        <w:trPr>
          <w:trHeight w:val="1389" w:hRule="atLeast"/>
        </w:trPr>
        <w:tc>
          <w:tcPr>
            <w:tcW w:w="4603" w:type="dxa"/>
            <w:vMerge w:val="restart"/>
            <w:shd w:val="clear" w:color="auto" w:fill="CCFFFF"/>
          </w:tcPr>
          <w:p>
            <w:pPr>
              <w:pStyle w:val="TableParagraph"/>
              <w:spacing w:before="53"/>
              <w:rPr>
                <w:b/>
                <w:sz w:val="16"/>
              </w:rPr>
            </w:pPr>
            <w:r>
              <w:rPr>
                <w:b/>
                <w:sz w:val="16"/>
              </w:rPr>
              <w:t>PODMÍNĚNĚ PŘÍPUSTNÉ VYUŽITÍ</w:t>
            </w:r>
          </w:p>
        </w:tc>
        <w:tc>
          <w:tcPr>
            <w:tcW w:w="5035" w:type="dxa"/>
            <w:shd w:val="clear" w:color="auto" w:fill="CCFFFF"/>
          </w:tcPr>
          <w:p>
            <w:pPr>
              <w:pStyle w:val="TableParagraph"/>
              <w:spacing w:before="53"/>
              <w:ind w:right="260"/>
              <w:rPr>
                <w:sz w:val="16"/>
              </w:rPr>
            </w:pPr>
            <w:r>
              <w:rPr>
                <w:b/>
                <w:sz w:val="16"/>
              </w:rPr>
              <w:t>obecné podmínky: </w:t>
            </w:r>
            <w:r>
              <w:rPr>
                <w:sz w:val="16"/>
              </w:rPr>
              <w:t>prokázat přiměřenost jeho dopadů ve vztahu k hlavnímu a přípustnému využití z hlediska:</w:t>
            </w:r>
          </w:p>
          <w:p>
            <w:pPr>
              <w:pStyle w:val="TableParagraph"/>
              <w:spacing w:before="60"/>
              <w:rPr>
                <w:sz w:val="16"/>
              </w:rPr>
            </w:pPr>
            <w:r>
              <w:rPr>
                <w:sz w:val="16"/>
              </w:rPr>
              <w:t>významu v širším území</w:t>
            </w:r>
          </w:p>
          <w:p>
            <w:pPr>
              <w:pStyle w:val="TableParagraph"/>
              <w:spacing w:line="312" w:lineRule="auto" w:before="56"/>
              <w:ind w:right="1496"/>
              <w:rPr>
                <w:sz w:val="16"/>
              </w:rPr>
            </w:pPr>
            <w:r>
              <w:rPr>
                <w:sz w:val="16"/>
              </w:rPr>
              <w:t>narušení kvality prostředí resp. pohody bydlení charakteru a kapacity napojení na infrastrukturu</w:t>
            </w:r>
          </w:p>
          <w:p>
            <w:pPr>
              <w:pStyle w:val="TableParagraph"/>
              <w:spacing w:line="166" w:lineRule="exact" w:before="4"/>
              <w:rPr>
                <w:sz w:val="16"/>
              </w:rPr>
            </w:pPr>
            <w:r>
              <w:rPr>
                <w:sz w:val="16"/>
              </w:rPr>
              <w:t>vyvolaných omezení ve smyslu hygienických a dalších předpisů</w:t>
            </w:r>
          </w:p>
        </w:tc>
      </w:tr>
      <w:tr>
        <w:trPr>
          <w:trHeight w:val="241" w:hRule="atLeast"/>
        </w:trPr>
        <w:tc>
          <w:tcPr>
            <w:tcW w:w="4603" w:type="dxa"/>
            <w:vMerge/>
            <w:tcBorders>
              <w:top w:val="nil"/>
            </w:tcBorders>
            <w:shd w:val="clear" w:color="auto" w:fill="CCFFFF"/>
          </w:tcPr>
          <w:p>
            <w:pPr>
              <w:rPr>
                <w:sz w:val="2"/>
                <w:szCs w:val="2"/>
              </w:rPr>
            </w:pPr>
          </w:p>
        </w:tc>
        <w:tc>
          <w:tcPr>
            <w:tcW w:w="5035" w:type="dxa"/>
            <w:shd w:val="clear" w:color="auto" w:fill="CCFFFF"/>
          </w:tcPr>
          <w:p>
            <w:pPr>
              <w:pStyle w:val="TableParagraph"/>
              <w:spacing w:line="171" w:lineRule="exact" w:before="51"/>
              <w:rPr>
                <w:b/>
                <w:sz w:val="16"/>
              </w:rPr>
            </w:pPr>
            <w:r>
              <w:rPr>
                <w:b/>
                <w:sz w:val="16"/>
              </w:rPr>
              <w:t>specifické podmínky:</w:t>
            </w:r>
          </w:p>
        </w:tc>
      </w:tr>
      <w:tr>
        <w:trPr>
          <w:trHeight w:val="1091" w:hRule="atLeast"/>
        </w:trPr>
        <w:tc>
          <w:tcPr>
            <w:tcW w:w="4603" w:type="dxa"/>
          </w:tcPr>
          <w:p>
            <w:pPr>
              <w:pStyle w:val="TableParagraph"/>
              <w:spacing w:before="53"/>
              <w:ind w:right="121"/>
              <w:rPr>
                <w:sz w:val="16"/>
              </w:rPr>
            </w:pPr>
            <w:r>
              <w:rPr>
                <w:b/>
                <w:sz w:val="16"/>
              </w:rPr>
              <w:t>speciálních kultury s hospodářským využitím </w:t>
            </w:r>
            <w:r>
              <w:rPr>
                <w:sz w:val="16"/>
              </w:rPr>
              <w:t>- zejména plochy pro pěstování energetických plodin a rychlerostoucích dřevin, vánočních stromků, konstrukce intenzivních sadů</w:t>
            </w:r>
          </w:p>
        </w:tc>
        <w:tc>
          <w:tcPr>
            <w:tcW w:w="5035" w:type="dxa"/>
          </w:tcPr>
          <w:p>
            <w:pPr>
              <w:pStyle w:val="TableParagraph"/>
              <w:spacing w:before="53"/>
              <w:ind w:right="562"/>
              <w:rPr>
                <w:sz w:val="16"/>
              </w:rPr>
            </w:pPr>
            <w:r>
              <w:rPr>
                <w:sz w:val="16"/>
              </w:rPr>
              <w:t>nebude narušen krajinný ráz, protierozní ochrana a odtokové poměry</w:t>
            </w:r>
          </w:p>
          <w:p>
            <w:pPr>
              <w:pStyle w:val="TableParagraph"/>
              <w:spacing w:before="57"/>
              <w:ind w:right="509"/>
              <w:rPr>
                <w:sz w:val="16"/>
              </w:rPr>
            </w:pPr>
            <w:r>
              <w:rPr>
                <w:sz w:val="16"/>
              </w:rPr>
              <w:t>nebudou ovlivněny plochy v zájmech ochrany přírody expanzí nepůvodních druhů</w:t>
            </w:r>
          </w:p>
          <w:p>
            <w:pPr>
              <w:pStyle w:val="TableParagraph"/>
              <w:spacing w:line="168" w:lineRule="exact" w:before="57"/>
              <w:rPr>
                <w:sz w:val="16"/>
              </w:rPr>
            </w:pPr>
            <w:r>
              <w:rPr>
                <w:sz w:val="16"/>
              </w:rPr>
              <w:t>na území CHKO JH a Přírodního parku Ještěd se nepřipouští</w:t>
            </w:r>
          </w:p>
        </w:tc>
      </w:tr>
      <w:tr>
        <w:trPr>
          <w:trHeight w:val="2421" w:hRule="atLeast"/>
        </w:trPr>
        <w:tc>
          <w:tcPr>
            <w:tcW w:w="4603" w:type="dxa"/>
          </w:tcPr>
          <w:p>
            <w:pPr>
              <w:pStyle w:val="TableParagraph"/>
              <w:spacing w:before="106"/>
              <w:ind w:right="326"/>
              <w:rPr>
                <w:sz w:val="16"/>
              </w:rPr>
            </w:pPr>
            <w:r>
              <w:rPr>
                <w:b/>
                <w:sz w:val="16"/>
              </w:rPr>
              <w:t>zemědělské hospodaření a výkon myslivosti - </w:t>
            </w:r>
            <w:r>
              <w:rPr>
                <w:sz w:val="16"/>
              </w:rPr>
              <w:t>zejména přístřešky pro dočasné ustájení zvířat, uskladnění zemědělských surovin a produktů, posedy, krmelce apod.</w:t>
            </w:r>
          </w:p>
          <w:p>
            <w:pPr>
              <w:pStyle w:val="TableParagraph"/>
              <w:spacing w:before="60"/>
              <w:ind w:right="104"/>
              <w:rPr>
                <w:sz w:val="16"/>
              </w:rPr>
            </w:pPr>
            <w:r>
              <w:rPr>
                <w:b/>
                <w:sz w:val="16"/>
              </w:rPr>
              <w:t>zajištění zemědělského hospodaření </w:t>
            </w:r>
            <w:r>
              <w:rPr>
                <w:sz w:val="16"/>
              </w:rPr>
              <w:t>- zejména konstrukce závlah, konstrukce pro pěstování zvláštních kultur</w:t>
            </w:r>
          </w:p>
          <w:p>
            <w:pPr>
              <w:pStyle w:val="TableParagraph"/>
              <w:spacing w:line="244" w:lineRule="auto" w:before="60"/>
              <w:ind w:right="326"/>
              <w:rPr>
                <w:sz w:val="16"/>
              </w:rPr>
            </w:pPr>
            <w:r>
              <w:rPr>
                <w:b/>
                <w:sz w:val="16"/>
              </w:rPr>
              <w:t>přístřešky </w:t>
            </w:r>
            <w:r>
              <w:rPr>
                <w:sz w:val="16"/>
              </w:rPr>
              <w:t>pro chov hospodářských zvířat, pro uskladnění surovin a produktů</w:t>
            </w:r>
          </w:p>
        </w:tc>
        <w:tc>
          <w:tcPr>
            <w:tcW w:w="5035" w:type="dxa"/>
          </w:tcPr>
          <w:p>
            <w:pPr>
              <w:pStyle w:val="TableParagraph"/>
              <w:spacing w:before="53"/>
              <w:ind w:right="918"/>
              <w:rPr>
                <w:sz w:val="16"/>
              </w:rPr>
            </w:pPr>
            <w:r>
              <w:rPr>
                <w:sz w:val="16"/>
              </w:rPr>
              <w:t>slouží bezprostředně k zajištění hlavního, přípustného a podmíněně přípustného využití dané plochy</w:t>
            </w:r>
          </w:p>
          <w:p>
            <w:pPr>
              <w:pStyle w:val="TableParagraph"/>
              <w:spacing w:before="57"/>
              <w:ind w:right="437"/>
              <w:rPr>
                <w:sz w:val="16"/>
              </w:rPr>
            </w:pPr>
            <w:r>
              <w:rPr>
                <w:sz w:val="16"/>
              </w:rPr>
              <w:t>charakterem a kapacitou odpovídají charakteru a výměře dané plochy</w:t>
            </w:r>
          </w:p>
          <w:p>
            <w:pPr>
              <w:pStyle w:val="TableParagraph"/>
              <w:spacing w:before="112"/>
              <w:ind w:right="437"/>
              <w:rPr>
                <w:sz w:val="16"/>
              </w:rPr>
            </w:pPr>
            <w:r>
              <w:rPr>
                <w:sz w:val="16"/>
              </w:rPr>
              <w:t>jsou technologicky přímo vázané na dané stanoviště a nelze je odůvodněně umístit v příslušných zastavitelných plochách</w:t>
            </w:r>
          </w:p>
          <w:p>
            <w:pPr>
              <w:pStyle w:val="TableParagraph"/>
              <w:spacing w:before="57"/>
              <w:rPr>
                <w:sz w:val="16"/>
              </w:rPr>
            </w:pPr>
            <w:r>
              <w:rPr>
                <w:sz w:val="16"/>
              </w:rPr>
              <w:t>budou splněny požadavky na celistvost a funkčnost dané plochy</w:t>
            </w:r>
          </w:p>
          <w:p>
            <w:pPr>
              <w:pStyle w:val="TableParagraph"/>
              <w:spacing w:before="59"/>
              <w:ind w:right="562"/>
              <w:rPr>
                <w:sz w:val="16"/>
              </w:rPr>
            </w:pPr>
            <w:r>
              <w:rPr>
                <w:sz w:val="16"/>
              </w:rPr>
              <w:t>nebude narušen krajinný ráz, protierozní ochrana a odtokové poměry a prostupnost krajiny</w:t>
            </w:r>
          </w:p>
          <w:p>
            <w:pPr>
              <w:pStyle w:val="TableParagraph"/>
              <w:spacing w:line="182" w:lineRule="exact" w:before="61"/>
              <w:ind w:right="295"/>
              <w:rPr>
                <w:sz w:val="16"/>
              </w:rPr>
            </w:pPr>
            <w:r>
              <w:rPr>
                <w:sz w:val="16"/>
              </w:rPr>
              <w:t>na území CHKO JH a Přírodního parku Ještěd nebude narušena ekologická funkce krajiny</w:t>
            </w:r>
          </w:p>
        </w:tc>
      </w:tr>
      <w:tr>
        <w:trPr>
          <w:trHeight w:val="592" w:hRule="atLeast"/>
        </w:trPr>
        <w:tc>
          <w:tcPr>
            <w:tcW w:w="4603" w:type="dxa"/>
          </w:tcPr>
          <w:p>
            <w:pPr>
              <w:pStyle w:val="TableParagraph"/>
              <w:spacing w:before="106"/>
              <w:rPr>
                <w:b/>
                <w:sz w:val="16"/>
              </w:rPr>
            </w:pPr>
            <w:r>
              <w:rPr>
                <w:b/>
                <w:sz w:val="16"/>
              </w:rPr>
              <w:t>liniové stavby technické infrastruktury nadřazených systémů</w:t>
            </w:r>
          </w:p>
        </w:tc>
        <w:tc>
          <w:tcPr>
            <w:tcW w:w="5035" w:type="dxa"/>
          </w:tcPr>
          <w:p>
            <w:pPr>
              <w:pStyle w:val="TableParagraph"/>
              <w:spacing w:line="298" w:lineRule="exact" w:before="20"/>
              <w:ind w:right="1959"/>
              <w:rPr>
                <w:sz w:val="16"/>
              </w:rPr>
            </w:pPr>
            <w:r>
              <w:rPr>
                <w:sz w:val="16"/>
              </w:rPr>
              <w:t>souvisí bezprostředně s provozem města nenaruší krajinný ráz</w:t>
            </w:r>
          </w:p>
        </w:tc>
      </w:tr>
      <w:tr>
        <w:trPr>
          <w:trHeight w:val="868" w:hRule="atLeast"/>
        </w:trPr>
        <w:tc>
          <w:tcPr>
            <w:tcW w:w="4603" w:type="dxa"/>
          </w:tcPr>
          <w:p>
            <w:pPr>
              <w:pStyle w:val="TableParagraph"/>
              <w:spacing w:before="85"/>
              <w:ind w:right="576"/>
              <w:rPr>
                <w:b/>
                <w:sz w:val="16"/>
              </w:rPr>
            </w:pPr>
            <w:r>
              <w:rPr>
                <w:b/>
                <w:sz w:val="16"/>
              </w:rPr>
              <w:t>plošně nenáročná zařízení technické infrastruktury nadřazených systémů</w:t>
            </w:r>
          </w:p>
        </w:tc>
        <w:tc>
          <w:tcPr>
            <w:tcW w:w="5035" w:type="dxa"/>
          </w:tcPr>
          <w:p>
            <w:pPr>
              <w:pStyle w:val="TableParagraph"/>
              <w:spacing w:before="87"/>
              <w:rPr>
                <w:sz w:val="16"/>
              </w:rPr>
            </w:pPr>
            <w:r>
              <w:rPr>
                <w:sz w:val="16"/>
              </w:rPr>
              <w:t>plocha nepřesáhne 300 m</w:t>
            </w:r>
            <w:r>
              <w:rPr>
                <w:sz w:val="16"/>
                <w:vertAlign w:val="superscript"/>
              </w:rPr>
              <w:t>2</w:t>
            </w:r>
          </w:p>
          <w:p>
            <w:pPr>
              <w:pStyle w:val="TableParagraph"/>
              <w:spacing w:line="298" w:lineRule="exact" w:before="23"/>
              <w:ind w:right="1959"/>
              <w:rPr>
                <w:sz w:val="16"/>
              </w:rPr>
            </w:pPr>
            <w:r>
              <w:rPr>
                <w:sz w:val="16"/>
              </w:rPr>
              <w:t>souvisí bezprostředně s provozem města nenaruší krajinný ráz</w:t>
            </w:r>
          </w:p>
        </w:tc>
      </w:tr>
      <w:tr>
        <w:trPr>
          <w:trHeight w:val="3436" w:hRule="atLeast"/>
        </w:trPr>
        <w:tc>
          <w:tcPr>
            <w:tcW w:w="4603" w:type="dxa"/>
          </w:tcPr>
          <w:p>
            <w:pPr>
              <w:pStyle w:val="TableParagraph"/>
              <w:spacing w:before="85"/>
              <w:rPr>
                <w:b/>
                <w:sz w:val="16"/>
              </w:rPr>
            </w:pPr>
            <w:r>
              <w:rPr>
                <w:b/>
                <w:sz w:val="16"/>
              </w:rPr>
              <w:t>základní vybavenost území</w:t>
            </w:r>
          </w:p>
          <w:p>
            <w:pPr>
              <w:pStyle w:val="TableParagraph"/>
              <w:spacing w:before="61"/>
              <w:ind w:right="246"/>
              <w:rPr>
                <w:sz w:val="16"/>
              </w:rPr>
            </w:pPr>
            <w:r>
              <w:rPr>
                <w:sz w:val="16"/>
              </w:rPr>
              <w:t>terénní úpravy kromě těžebních prací a skládek odpadů, opěrné zdi, propustky a přemostění, oplocenky a ohradníky</w:t>
            </w:r>
          </w:p>
          <w:p>
            <w:pPr>
              <w:pStyle w:val="TableParagraph"/>
              <w:spacing w:before="57"/>
              <w:ind w:right="118" w:hanging="1"/>
              <w:rPr>
                <w:sz w:val="16"/>
              </w:rPr>
            </w:pPr>
            <w:r>
              <w:rPr>
                <w:sz w:val="16"/>
              </w:rPr>
              <w:t>vodní toky a vodní plochy do 2 000 m</w:t>
            </w:r>
            <w:r>
              <w:rPr>
                <w:sz w:val="16"/>
                <w:vertAlign w:val="superscript"/>
              </w:rPr>
              <w:t>2</w:t>
            </w:r>
            <w:r>
              <w:rPr>
                <w:sz w:val="16"/>
                <w:vertAlign w:val="baseline"/>
              </w:rPr>
              <w:t>, plošné a liniové prvky ochranné a doprovodné zeleně vč. biokoridorů ÚSES a IP</w:t>
            </w:r>
          </w:p>
          <w:p>
            <w:pPr>
              <w:pStyle w:val="TableParagraph"/>
              <w:spacing w:before="57"/>
              <w:ind w:right="264" w:hanging="1"/>
              <w:rPr>
                <w:sz w:val="16"/>
              </w:rPr>
            </w:pPr>
            <w:r>
              <w:rPr>
                <w:sz w:val="16"/>
              </w:rPr>
              <w:t>veřejná prostranství - místní komunikace zpřístupňující objekty a pozemky v ploše, komunikace, pobytové prostory s vyloučením motorové dopravy, zastávky VDO</w:t>
            </w:r>
          </w:p>
          <w:p>
            <w:pPr>
              <w:pStyle w:val="TableParagraph"/>
              <w:spacing w:before="57"/>
              <w:ind w:right="156"/>
              <w:rPr>
                <w:sz w:val="16"/>
              </w:rPr>
            </w:pPr>
            <w:r>
              <w:rPr>
                <w:sz w:val="16"/>
              </w:rPr>
              <w:t>technická Infrastruktura - liniové stavby a plošně nenáročná zařízení vodovodů, kanalizace, produktovodů, energetických zařízení vč. obnovitelných zdrojů, elektronických komunikací</w:t>
            </w:r>
          </w:p>
          <w:p>
            <w:pPr>
              <w:pStyle w:val="TableParagraph"/>
              <w:spacing w:before="55"/>
              <w:ind w:right="940"/>
              <w:rPr>
                <w:sz w:val="16"/>
              </w:rPr>
            </w:pPr>
            <w:r>
              <w:rPr>
                <w:sz w:val="16"/>
              </w:rPr>
              <w:t>rekreační využití krajiny – mobiliář, stavby drobné architektury do 10 m</w:t>
            </w:r>
            <w:r>
              <w:rPr>
                <w:sz w:val="16"/>
                <w:vertAlign w:val="superscript"/>
              </w:rPr>
              <w:t>2</w:t>
            </w:r>
            <w:r>
              <w:rPr>
                <w:sz w:val="16"/>
                <w:vertAlign w:val="baseline"/>
              </w:rPr>
              <w:t> bez pobytových místností</w:t>
            </w:r>
          </w:p>
          <w:p>
            <w:pPr>
              <w:pStyle w:val="TableParagraph"/>
              <w:spacing w:before="57"/>
              <w:ind w:right="335"/>
              <w:rPr>
                <w:sz w:val="16"/>
              </w:rPr>
            </w:pPr>
            <w:r>
              <w:rPr>
                <w:sz w:val="16"/>
              </w:rPr>
              <w:t>informační zařízení, která zlepšují podmínky využití území pro účely rekreace a cestovního ruchu</w:t>
            </w:r>
          </w:p>
          <w:p>
            <w:pPr>
              <w:pStyle w:val="TableParagraph"/>
              <w:spacing w:line="166" w:lineRule="exact" w:before="62"/>
              <w:rPr>
                <w:sz w:val="16"/>
              </w:rPr>
            </w:pPr>
            <w:r>
              <w:rPr>
                <w:sz w:val="16"/>
              </w:rPr>
              <w:t>ochrana před povodněmi, erozí, hlukem, exhalacemi</w:t>
            </w:r>
          </w:p>
        </w:tc>
        <w:tc>
          <w:tcPr>
            <w:tcW w:w="5035" w:type="dxa"/>
          </w:tcPr>
          <w:p>
            <w:pPr>
              <w:pStyle w:val="TableParagraph"/>
              <w:spacing w:before="32"/>
              <w:ind w:right="918"/>
              <w:rPr>
                <w:sz w:val="16"/>
              </w:rPr>
            </w:pPr>
            <w:r>
              <w:rPr>
                <w:sz w:val="16"/>
              </w:rPr>
              <w:t>slouží bezprostředně k zajištění hlavního, přípustného a podmíněně přípustného využití dané plochy</w:t>
            </w:r>
          </w:p>
          <w:p>
            <w:pPr>
              <w:pStyle w:val="TableParagraph"/>
              <w:spacing w:before="57"/>
              <w:ind w:right="437"/>
              <w:rPr>
                <w:sz w:val="16"/>
              </w:rPr>
            </w:pPr>
            <w:r>
              <w:rPr>
                <w:sz w:val="16"/>
              </w:rPr>
              <w:t>charakterem a kapacitou odpovídají charakteru a výměře dané plochy</w:t>
            </w:r>
          </w:p>
          <w:p>
            <w:pPr>
              <w:pStyle w:val="TableParagraph"/>
              <w:spacing w:before="57"/>
              <w:ind w:right="437"/>
              <w:rPr>
                <w:sz w:val="16"/>
              </w:rPr>
            </w:pPr>
            <w:r>
              <w:rPr>
                <w:sz w:val="16"/>
              </w:rPr>
              <w:t>jsou technologicky přímo vázané na dané stanoviště a nelze je odůvodněně umístit v příslušných zastavitelných plochách</w:t>
            </w:r>
          </w:p>
          <w:p>
            <w:pPr>
              <w:pStyle w:val="TableParagraph"/>
              <w:spacing w:before="57"/>
              <w:rPr>
                <w:sz w:val="16"/>
              </w:rPr>
            </w:pPr>
            <w:r>
              <w:rPr>
                <w:sz w:val="16"/>
              </w:rPr>
              <w:t>budou splněny požadavky na celistvost a funkčnost dané plochy</w:t>
            </w:r>
          </w:p>
          <w:p>
            <w:pPr>
              <w:pStyle w:val="TableParagraph"/>
              <w:spacing w:before="58"/>
              <w:ind w:right="562"/>
              <w:rPr>
                <w:sz w:val="16"/>
              </w:rPr>
            </w:pPr>
            <w:r>
              <w:rPr>
                <w:sz w:val="16"/>
              </w:rPr>
              <w:t>nebude narušen krajinný ráz, protierozní ochrana a odtokové poměry a prostupnost krajiny</w:t>
            </w:r>
          </w:p>
          <w:p>
            <w:pPr>
              <w:pStyle w:val="TableParagraph"/>
              <w:spacing w:before="57"/>
              <w:ind w:right="295"/>
              <w:rPr>
                <w:sz w:val="16"/>
              </w:rPr>
            </w:pPr>
            <w:r>
              <w:rPr>
                <w:sz w:val="16"/>
              </w:rPr>
              <w:t>na území CHKO JH a Přírodního parku Ještěd nebude narušena ekologická funkce krajiny</w:t>
            </w:r>
          </w:p>
        </w:tc>
      </w:tr>
      <w:tr>
        <w:trPr>
          <w:trHeight w:val="297" w:hRule="atLeast"/>
        </w:trPr>
        <w:tc>
          <w:tcPr>
            <w:tcW w:w="4603" w:type="dxa"/>
            <w:shd w:val="clear" w:color="auto" w:fill="CCFFFF"/>
          </w:tcPr>
          <w:p>
            <w:pPr>
              <w:pStyle w:val="TableParagraph"/>
              <w:spacing w:line="171" w:lineRule="exact" w:before="106"/>
              <w:rPr>
                <w:b/>
                <w:sz w:val="16"/>
              </w:rPr>
            </w:pPr>
            <w:r>
              <w:rPr>
                <w:b/>
                <w:sz w:val="16"/>
              </w:rPr>
              <w:t>NEPŘÍPUSTNÉ VYUŽITÍ</w:t>
            </w:r>
          </w:p>
        </w:tc>
        <w:tc>
          <w:tcPr>
            <w:tcW w:w="5035" w:type="dxa"/>
            <w:shd w:val="clear" w:color="auto" w:fill="CCFFFF"/>
          </w:tcPr>
          <w:p>
            <w:pPr>
              <w:pStyle w:val="TableParagraph"/>
              <w:ind w:left="0"/>
              <w:rPr>
                <w:rFonts w:ascii="Times New Roman"/>
                <w:sz w:val="16"/>
              </w:rPr>
            </w:pPr>
          </w:p>
        </w:tc>
      </w:tr>
      <w:tr>
        <w:trPr>
          <w:trHeight w:val="779" w:hRule="atLeast"/>
        </w:trPr>
        <w:tc>
          <w:tcPr>
            <w:tcW w:w="4603" w:type="dxa"/>
          </w:tcPr>
          <w:p>
            <w:pPr>
              <w:pStyle w:val="TableParagraph"/>
              <w:spacing w:before="106"/>
              <w:rPr>
                <w:b/>
                <w:sz w:val="16"/>
              </w:rPr>
            </w:pPr>
            <w:r>
              <w:rPr>
                <w:b/>
                <w:sz w:val="16"/>
              </w:rPr>
              <w:t>zejména využití, u kterého existuje riziko,</w:t>
            </w:r>
            <w:r>
              <w:rPr>
                <w:b/>
                <w:spacing w:val="-18"/>
                <w:sz w:val="16"/>
              </w:rPr>
              <w:t> </w:t>
            </w:r>
            <w:r>
              <w:rPr>
                <w:b/>
                <w:sz w:val="16"/>
              </w:rPr>
              <w:t>že:</w:t>
            </w:r>
          </w:p>
          <w:p>
            <w:pPr>
              <w:pStyle w:val="TableParagraph"/>
              <w:spacing w:line="240" w:lineRule="atLeast" w:before="5"/>
              <w:ind w:right="1015"/>
              <w:rPr>
                <w:sz w:val="16"/>
              </w:rPr>
            </w:pPr>
            <w:r>
              <w:rPr>
                <w:sz w:val="16"/>
              </w:rPr>
              <w:t>naruší kvalitu prostředí plochy zemědělské naruší celistvost a funkčnost plochy</w:t>
            </w:r>
            <w:r>
              <w:rPr>
                <w:spacing w:val="-15"/>
                <w:sz w:val="16"/>
              </w:rPr>
              <w:t> </w:t>
            </w:r>
            <w:r>
              <w:rPr>
                <w:sz w:val="16"/>
              </w:rPr>
              <w:t>zemědělské</w:t>
            </w:r>
          </w:p>
        </w:tc>
        <w:tc>
          <w:tcPr>
            <w:tcW w:w="5035" w:type="dxa"/>
          </w:tcPr>
          <w:p>
            <w:pPr>
              <w:pStyle w:val="TableParagraph"/>
              <w:ind w:left="0"/>
              <w:rPr>
                <w:rFonts w:ascii="Times New Roman"/>
                <w:sz w:val="16"/>
              </w:rPr>
            </w:pPr>
          </w:p>
        </w:tc>
      </w:tr>
    </w:tbl>
    <w:p>
      <w:pPr>
        <w:spacing w:after="0"/>
        <w:rPr>
          <w:rFonts w:ascii="Times New Roman"/>
          <w:sz w:val="16"/>
        </w:rPr>
        <w:sectPr>
          <w:pgSz w:w="11900" w:h="16840"/>
          <w:pgMar w:header="561" w:footer="582" w:top="760" w:bottom="780" w:left="960" w:right="980"/>
        </w:sectPr>
      </w:pPr>
    </w:p>
    <w:p>
      <w:pPr>
        <w:pStyle w:val="BodyText"/>
        <w:ind w:left="0" w:firstLine="0"/>
        <w:jc w:val="left"/>
        <w:rPr>
          <w:b/>
          <w:sz w:val="20"/>
        </w:rPr>
      </w:pPr>
    </w:p>
    <w:p>
      <w:pPr>
        <w:pStyle w:val="BodyText"/>
        <w:spacing w:before="7"/>
        <w:ind w:left="0" w:firstLine="0"/>
        <w:jc w:val="left"/>
        <w:rPr>
          <w:b/>
          <w:sz w:val="11"/>
        </w:r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03"/>
        <w:gridCol w:w="5035"/>
      </w:tblGrid>
      <w:tr>
        <w:trPr>
          <w:trHeight w:val="311" w:hRule="atLeast"/>
        </w:trPr>
        <w:tc>
          <w:tcPr>
            <w:tcW w:w="4603" w:type="dxa"/>
            <w:shd w:val="clear" w:color="auto" w:fill="32CCCC"/>
          </w:tcPr>
          <w:p>
            <w:pPr>
              <w:pStyle w:val="TableParagraph"/>
              <w:spacing w:line="237" w:lineRule="exact" w:before="55"/>
              <w:rPr>
                <w:b/>
                <w:sz w:val="22"/>
              </w:rPr>
            </w:pPr>
            <w:r>
              <w:rPr>
                <w:b/>
                <w:sz w:val="22"/>
              </w:rPr>
              <w:t>PLOCHY LESNÍ</w:t>
            </w:r>
          </w:p>
        </w:tc>
        <w:tc>
          <w:tcPr>
            <w:tcW w:w="5035" w:type="dxa"/>
            <w:shd w:val="clear" w:color="auto" w:fill="32CCCC"/>
          </w:tcPr>
          <w:p>
            <w:pPr>
              <w:pStyle w:val="TableParagraph"/>
              <w:spacing w:line="237" w:lineRule="exact" w:before="55"/>
              <w:rPr>
                <w:b/>
                <w:sz w:val="22"/>
              </w:rPr>
            </w:pPr>
            <w:r>
              <w:rPr>
                <w:b/>
                <w:w w:val="100"/>
                <w:sz w:val="22"/>
              </w:rPr>
              <w:t>L</w:t>
            </w:r>
          </w:p>
        </w:tc>
      </w:tr>
      <w:tr>
        <w:trPr>
          <w:trHeight w:val="239" w:hRule="atLeast"/>
        </w:trPr>
        <w:tc>
          <w:tcPr>
            <w:tcW w:w="4603" w:type="dxa"/>
            <w:shd w:val="clear" w:color="auto" w:fill="CCFFFF"/>
          </w:tcPr>
          <w:p>
            <w:pPr>
              <w:pStyle w:val="TableParagraph"/>
              <w:spacing w:line="166" w:lineRule="exact" w:before="53"/>
              <w:rPr>
                <w:sz w:val="16"/>
              </w:rPr>
            </w:pPr>
            <w:r>
              <w:rPr>
                <w:sz w:val="16"/>
              </w:rPr>
              <w:t>pozemky pro stavby, zařízení, úpravy, kultury, činnosti</w:t>
            </w:r>
          </w:p>
        </w:tc>
        <w:tc>
          <w:tcPr>
            <w:tcW w:w="5035" w:type="dxa"/>
            <w:shd w:val="clear" w:color="auto" w:fill="CCFFFF"/>
          </w:tcPr>
          <w:p>
            <w:pPr>
              <w:pStyle w:val="TableParagraph"/>
              <w:ind w:left="0"/>
              <w:rPr>
                <w:rFonts w:ascii="Times New Roman"/>
                <w:sz w:val="16"/>
              </w:rPr>
            </w:pPr>
          </w:p>
        </w:tc>
      </w:tr>
      <w:tr>
        <w:trPr>
          <w:trHeight w:val="241" w:hRule="atLeast"/>
        </w:trPr>
        <w:tc>
          <w:tcPr>
            <w:tcW w:w="4603" w:type="dxa"/>
            <w:shd w:val="clear" w:color="auto" w:fill="CCFFFF"/>
          </w:tcPr>
          <w:p>
            <w:pPr>
              <w:pStyle w:val="TableParagraph"/>
              <w:spacing w:line="168" w:lineRule="exact" w:before="53"/>
              <w:rPr>
                <w:b/>
                <w:sz w:val="16"/>
              </w:rPr>
            </w:pPr>
            <w:r>
              <w:rPr>
                <w:b/>
                <w:sz w:val="16"/>
              </w:rPr>
              <w:t>HLAVNÍ VYUŽITÍ</w:t>
            </w:r>
          </w:p>
        </w:tc>
        <w:tc>
          <w:tcPr>
            <w:tcW w:w="5035" w:type="dxa"/>
            <w:shd w:val="clear" w:color="auto" w:fill="CCFFFF"/>
          </w:tcPr>
          <w:p>
            <w:pPr>
              <w:pStyle w:val="TableParagraph"/>
              <w:ind w:left="0"/>
              <w:rPr>
                <w:rFonts w:ascii="Times New Roman"/>
                <w:sz w:val="16"/>
              </w:rPr>
            </w:pPr>
          </w:p>
        </w:tc>
      </w:tr>
      <w:tr>
        <w:trPr>
          <w:trHeight w:val="849" w:hRule="atLeast"/>
        </w:trPr>
        <w:tc>
          <w:tcPr>
            <w:tcW w:w="4603" w:type="dxa"/>
          </w:tcPr>
          <w:p>
            <w:pPr>
              <w:pStyle w:val="TableParagraph"/>
              <w:spacing w:before="106"/>
              <w:ind w:right="370"/>
              <w:rPr>
                <w:sz w:val="16"/>
              </w:rPr>
            </w:pPr>
            <w:r>
              <w:rPr>
                <w:b/>
                <w:sz w:val="16"/>
              </w:rPr>
              <w:t>pozemky určené k plnění funkcí lesa dle kategorizace lesů </w:t>
            </w:r>
            <w:r>
              <w:rPr>
                <w:sz w:val="16"/>
              </w:rPr>
              <w:t>(hospodářských, ochranných i zvláštního určení) pro</w:t>
            </w:r>
          </w:p>
          <w:p>
            <w:pPr>
              <w:pStyle w:val="TableParagraph"/>
              <w:spacing w:line="182" w:lineRule="exact" w:before="9"/>
              <w:ind w:right="468"/>
              <w:rPr>
                <w:sz w:val="16"/>
              </w:rPr>
            </w:pPr>
            <w:r>
              <w:rPr>
                <w:sz w:val="16"/>
              </w:rPr>
              <w:t>hospodaření v souladu s lesními hospodářskými plány a osnovami</w:t>
            </w:r>
          </w:p>
        </w:tc>
        <w:tc>
          <w:tcPr>
            <w:tcW w:w="5035" w:type="dxa"/>
          </w:tcPr>
          <w:p>
            <w:pPr>
              <w:pStyle w:val="TableParagraph"/>
              <w:ind w:left="0"/>
              <w:rPr>
                <w:rFonts w:ascii="Times New Roman"/>
                <w:sz w:val="16"/>
              </w:rPr>
            </w:pPr>
          </w:p>
        </w:tc>
      </w:tr>
      <w:tr>
        <w:trPr>
          <w:trHeight w:val="239" w:hRule="atLeast"/>
        </w:trPr>
        <w:tc>
          <w:tcPr>
            <w:tcW w:w="4603" w:type="dxa"/>
            <w:shd w:val="clear" w:color="auto" w:fill="CCFFFF"/>
          </w:tcPr>
          <w:p>
            <w:pPr>
              <w:pStyle w:val="TableParagraph"/>
              <w:spacing w:line="168" w:lineRule="exact" w:before="51"/>
              <w:rPr>
                <w:b/>
                <w:sz w:val="16"/>
              </w:rPr>
            </w:pPr>
            <w:r>
              <w:rPr>
                <w:b/>
                <w:sz w:val="16"/>
              </w:rPr>
              <w:t>PŘÍPUSTNÉ VYUŽITÍ</w:t>
            </w:r>
          </w:p>
        </w:tc>
        <w:tc>
          <w:tcPr>
            <w:tcW w:w="5035" w:type="dxa"/>
            <w:shd w:val="clear" w:color="auto" w:fill="CCFFFF"/>
          </w:tcPr>
          <w:p>
            <w:pPr>
              <w:pStyle w:val="TableParagraph"/>
              <w:ind w:left="0"/>
              <w:rPr>
                <w:rFonts w:ascii="Times New Roman"/>
                <w:sz w:val="16"/>
              </w:rPr>
            </w:pPr>
          </w:p>
        </w:tc>
      </w:tr>
      <w:tr>
        <w:trPr>
          <w:trHeight w:val="241" w:hRule="atLeast"/>
        </w:trPr>
        <w:tc>
          <w:tcPr>
            <w:tcW w:w="4603" w:type="dxa"/>
          </w:tcPr>
          <w:p>
            <w:pPr>
              <w:pStyle w:val="TableParagraph"/>
              <w:spacing w:line="168" w:lineRule="exact" w:before="53"/>
              <w:ind w:left="155"/>
              <w:rPr>
                <w:b/>
                <w:sz w:val="16"/>
              </w:rPr>
            </w:pPr>
            <w:r>
              <w:rPr>
                <w:b/>
                <w:w w:val="100"/>
                <w:sz w:val="16"/>
              </w:rPr>
              <w:t>-</w:t>
            </w:r>
          </w:p>
        </w:tc>
        <w:tc>
          <w:tcPr>
            <w:tcW w:w="5035" w:type="dxa"/>
          </w:tcPr>
          <w:p>
            <w:pPr>
              <w:pStyle w:val="TableParagraph"/>
              <w:ind w:left="0"/>
              <w:rPr>
                <w:rFonts w:ascii="Times New Roman"/>
                <w:sz w:val="16"/>
              </w:rPr>
            </w:pPr>
          </w:p>
        </w:tc>
      </w:tr>
      <w:tr>
        <w:trPr>
          <w:trHeight w:val="1389" w:hRule="atLeast"/>
        </w:trPr>
        <w:tc>
          <w:tcPr>
            <w:tcW w:w="4603" w:type="dxa"/>
            <w:vMerge w:val="restart"/>
            <w:shd w:val="clear" w:color="auto" w:fill="CCFFFF"/>
          </w:tcPr>
          <w:p>
            <w:pPr>
              <w:pStyle w:val="TableParagraph"/>
              <w:spacing w:before="51"/>
              <w:rPr>
                <w:b/>
                <w:sz w:val="16"/>
              </w:rPr>
            </w:pPr>
            <w:r>
              <w:rPr>
                <w:b/>
                <w:sz w:val="16"/>
              </w:rPr>
              <w:t>PODMÍNĚNĚ PŘÍPUSTNÉ VYUŽITÍ</w:t>
            </w:r>
          </w:p>
        </w:tc>
        <w:tc>
          <w:tcPr>
            <w:tcW w:w="5035" w:type="dxa"/>
            <w:shd w:val="clear" w:color="auto" w:fill="CCFFFF"/>
          </w:tcPr>
          <w:p>
            <w:pPr>
              <w:pStyle w:val="TableParagraph"/>
              <w:spacing w:line="244" w:lineRule="auto" w:before="51"/>
              <w:ind w:right="260"/>
              <w:rPr>
                <w:sz w:val="16"/>
              </w:rPr>
            </w:pPr>
            <w:r>
              <w:rPr>
                <w:b/>
                <w:sz w:val="16"/>
              </w:rPr>
              <w:t>obecné podmínky: </w:t>
            </w:r>
            <w:r>
              <w:rPr>
                <w:sz w:val="16"/>
              </w:rPr>
              <w:t>prokázat přiměřenost jeho dopadů ve vztahu k hlavnímu a přípustnému využití z hlediska:</w:t>
            </w:r>
          </w:p>
          <w:p>
            <w:pPr>
              <w:pStyle w:val="TableParagraph"/>
              <w:spacing w:before="52"/>
              <w:rPr>
                <w:sz w:val="16"/>
              </w:rPr>
            </w:pPr>
            <w:r>
              <w:rPr>
                <w:sz w:val="16"/>
              </w:rPr>
              <w:t>významu v širším území</w:t>
            </w:r>
          </w:p>
          <w:p>
            <w:pPr>
              <w:pStyle w:val="TableParagraph"/>
              <w:spacing w:line="312" w:lineRule="auto" w:before="58"/>
              <w:ind w:right="1496"/>
              <w:rPr>
                <w:sz w:val="16"/>
              </w:rPr>
            </w:pPr>
            <w:r>
              <w:rPr>
                <w:sz w:val="16"/>
              </w:rPr>
              <w:t>narušení kvality prostředí resp. pohody bydlení charakteru a kapacity napojení na infrastrukturu</w:t>
            </w:r>
          </w:p>
          <w:p>
            <w:pPr>
              <w:pStyle w:val="TableParagraph"/>
              <w:spacing w:line="168" w:lineRule="exact" w:before="2"/>
              <w:rPr>
                <w:sz w:val="16"/>
              </w:rPr>
            </w:pPr>
            <w:r>
              <w:rPr>
                <w:sz w:val="16"/>
              </w:rPr>
              <w:t>vyvolaných omezení ve smyslu hygienických a dalších předpisů</w:t>
            </w:r>
          </w:p>
        </w:tc>
      </w:tr>
      <w:tr>
        <w:trPr>
          <w:trHeight w:val="239" w:hRule="atLeast"/>
        </w:trPr>
        <w:tc>
          <w:tcPr>
            <w:tcW w:w="4603" w:type="dxa"/>
            <w:vMerge/>
            <w:tcBorders>
              <w:top w:val="nil"/>
            </w:tcBorders>
            <w:shd w:val="clear" w:color="auto" w:fill="CCFFFF"/>
          </w:tcPr>
          <w:p>
            <w:pPr>
              <w:rPr>
                <w:sz w:val="2"/>
                <w:szCs w:val="2"/>
              </w:rPr>
            </w:pPr>
          </w:p>
        </w:tc>
        <w:tc>
          <w:tcPr>
            <w:tcW w:w="5035" w:type="dxa"/>
            <w:shd w:val="clear" w:color="auto" w:fill="CCFFFF"/>
          </w:tcPr>
          <w:p>
            <w:pPr>
              <w:pStyle w:val="TableParagraph"/>
              <w:spacing w:line="168" w:lineRule="exact" w:before="51"/>
              <w:rPr>
                <w:b/>
                <w:sz w:val="16"/>
              </w:rPr>
            </w:pPr>
            <w:r>
              <w:rPr>
                <w:b/>
                <w:sz w:val="16"/>
              </w:rPr>
              <w:t>specifické podmínky:</w:t>
            </w:r>
          </w:p>
        </w:tc>
      </w:tr>
      <w:tr>
        <w:trPr>
          <w:trHeight w:val="2423" w:hRule="atLeast"/>
        </w:trPr>
        <w:tc>
          <w:tcPr>
            <w:tcW w:w="4603" w:type="dxa"/>
          </w:tcPr>
          <w:p>
            <w:pPr>
              <w:pStyle w:val="TableParagraph"/>
              <w:spacing w:before="56"/>
              <w:ind w:right="95"/>
              <w:rPr>
                <w:sz w:val="16"/>
              </w:rPr>
            </w:pPr>
            <w:r>
              <w:rPr>
                <w:b/>
                <w:sz w:val="16"/>
              </w:rPr>
              <w:t>lesní hospodaření a výkon myslivosti </w:t>
            </w:r>
            <w:r>
              <w:rPr>
                <w:sz w:val="16"/>
              </w:rPr>
              <w:t>- zejména, technická zařízení pro myslivost</w:t>
            </w:r>
          </w:p>
          <w:p>
            <w:pPr>
              <w:pStyle w:val="TableParagraph"/>
              <w:spacing w:before="59"/>
              <w:ind w:right="78"/>
              <w:rPr>
                <w:sz w:val="16"/>
              </w:rPr>
            </w:pPr>
            <w:r>
              <w:rPr>
                <w:b/>
                <w:sz w:val="16"/>
              </w:rPr>
              <w:t>zajištění lesního hospodaření </w:t>
            </w:r>
            <w:r>
              <w:rPr>
                <w:sz w:val="16"/>
              </w:rPr>
              <w:t>- zejména veškerá bezlesí na PUPFL vč. účelové cestní sítě, lesní školky vč. konstrukcí závlah</w:t>
            </w:r>
          </w:p>
          <w:p>
            <w:pPr>
              <w:pStyle w:val="TableParagraph"/>
              <w:spacing w:line="244" w:lineRule="auto" w:before="60"/>
              <w:ind w:right="370"/>
              <w:rPr>
                <w:sz w:val="16"/>
              </w:rPr>
            </w:pPr>
            <w:r>
              <w:rPr>
                <w:b/>
                <w:sz w:val="16"/>
              </w:rPr>
              <w:t>přístřešky </w:t>
            </w:r>
            <w:r>
              <w:rPr>
                <w:sz w:val="16"/>
              </w:rPr>
              <w:t>pro péči o lesní zvěř, pro uskladnění surovin a produktů</w:t>
            </w:r>
          </w:p>
        </w:tc>
        <w:tc>
          <w:tcPr>
            <w:tcW w:w="5035" w:type="dxa"/>
          </w:tcPr>
          <w:p>
            <w:pPr>
              <w:pStyle w:val="TableParagraph"/>
              <w:spacing w:before="56"/>
              <w:ind w:right="918"/>
              <w:rPr>
                <w:sz w:val="16"/>
              </w:rPr>
            </w:pPr>
            <w:r>
              <w:rPr>
                <w:sz w:val="16"/>
              </w:rPr>
              <w:t>slouží bezprostředně k zajištění hlavního, přípustného a podmíněně přípustného využití dané plochy</w:t>
            </w:r>
          </w:p>
          <w:p>
            <w:pPr>
              <w:pStyle w:val="TableParagraph"/>
              <w:spacing w:before="57"/>
              <w:ind w:right="437"/>
              <w:rPr>
                <w:sz w:val="16"/>
              </w:rPr>
            </w:pPr>
            <w:r>
              <w:rPr>
                <w:sz w:val="16"/>
              </w:rPr>
              <w:t>charakterem a kapacitou odpovídají charakteru a výměře dané plochy</w:t>
            </w:r>
          </w:p>
          <w:p>
            <w:pPr>
              <w:pStyle w:val="TableParagraph"/>
              <w:spacing w:before="112"/>
              <w:ind w:right="437"/>
              <w:rPr>
                <w:sz w:val="16"/>
              </w:rPr>
            </w:pPr>
            <w:r>
              <w:rPr>
                <w:sz w:val="16"/>
              </w:rPr>
              <w:t>jsou technologicky přímo vázané na dané stanoviště a nelze je odůvodněně umístit v příslušných zastavitelných plochách</w:t>
            </w:r>
          </w:p>
          <w:p>
            <w:pPr>
              <w:pStyle w:val="TableParagraph"/>
              <w:spacing w:before="57"/>
              <w:rPr>
                <w:sz w:val="16"/>
              </w:rPr>
            </w:pPr>
            <w:r>
              <w:rPr>
                <w:sz w:val="16"/>
              </w:rPr>
              <w:t>budou splněny požadavky na celistvost a funkčnost dané plochy</w:t>
            </w:r>
          </w:p>
          <w:p>
            <w:pPr>
              <w:pStyle w:val="TableParagraph"/>
              <w:spacing w:before="58"/>
              <w:ind w:right="562"/>
              <w:rPr>
                <w:sz w:val="16"/>
              </w:rPr>
            </w:pPr>
            <w:r>
              <w:rPr>
                <w:sz w:val="16"/>
              </w:rPr>
              <w:t>nebude narušen krajinný ráz, protierozní ochrana a odtokové poměry a prostupnost krajiny</w:t>
            </w:r>
          </w:p>
          <w:p>
            <w:pPr>
              <w:pStyle w:val="TableParagraph"/>
              <w:spacing w:line="182" w:lineRule="exact" w:before="61"/>
              <w:ind w:right="295"/>
              <w:rPr>
                <w:sz w:val="16"/>
              </w:rPr>
            </w:pPr>
            <w:r>
              <w:rPr>
                <w:sz w:val="16"/>
              </w:rPr>
              <w:t>na území CHKO JH a Přírodního parku Ještěd nebude narušena ekologická funkce krajiny</w:t>
            </w:r>
          </w:p>
        </w:tc>
      </w:tr>
      <w:tr>
        <w:trPr>
          <w:trHeight w:val="592" w:hRule="atLeast"/>
        </w:trPr>
        <w:tc>
          <w:tcPr>
            <w:tcW w:w="4603" w:type="dxa"/>
          </w:tcPr>
          <w:p>
            <w:pPr>
              <w:pStyle w:val="TableParagraph"/>
              <w:spacing w:before="106"/>
              <w:rPr>
                <w:b/>
                <w:sz w:val="16"/>
              </w:rPr>
            </w:pPr>
            <w:r>
              <w:rPr>
                <w:b/>
                <w:sz w:val="16"/>
              </w:rPr>
              <w:t>liniové stavby technické infrastruktury nadřazených systémů</w:t>
            </w:r>
          </w:p>
        </w:tc>
        <w:tc>
          <w:tcPr>
            <w:tcW w:w="5035" w:type="dxa"/>
          </w:tcPr>
          <w:p>
            <w:pPr>
              <w:pStyle w:val="TableParagraph"/>
              <w:spacing w:line="298" w:lineRule="exact" w:before="20"/>
              <w:ind w:right="1959"/>
              <w:rPr>
                <w:sz w:val="16"/>
              </w:rPr>
            </w:pPr>
            <w:r>
              <w:rPr>
                <w:sz w:val="16"/>
              </w:rPr>
              <w:t>souvisí bezprostředně s provozem města nenaruší krajinný ráz</w:t>
            </w:r>
          </w:p>
        </w:tc>
      </w:tr>
      <w:tr>
        <w:trPr>
          <w:trHeight w:val="868" w:hRule="atLeast"/>
        </w:trPr>
        <w:tc>
          <w:tcPr>
            <w:tcW w:w="4603" w:type="dxa"/>
          </w:tcPr>
          <w:p>
            <w:pPr>
              <w:pStyle w:val="TableParagraph"/>
              <w:spacing w:before="85"/>
              <w:ind w:right="576"/>
              <w:rPr>
                <w:b/>
                <w:sz w:val="16"/>
              </w:rPr>
            </w:pPr>
            <w:r>
              <w:rPr>
                <w:b/>
                <w:sz w:val="16"/>
              </w:rPr>
              <w:t>plošně nenáročná zařízení technické infrastruktury nadřazených systémů</w:t>
            </w:r>
          </w:p>
        </w:tc>
        <w:tc>
          <w:tcPr>
            <w:tcW w:w="5035" w:type="dxa"/>
          </w:tcPr>
          <w:p>
            <w:pPr>
              <w:pStyle w:val="TableParagraph"/>
              <w:spacing w:before="87"/>
              <w:rPr>
                <w:sz w:val="16"/>
              </w:rPr>
            </w:pPr>
            <w:r>
              <w:rPr>
                <w:sz w:val="16"/>
              </w:rPr>
              <w:t>plocha nepřesáhne 300 m</w:t>
            </w:r>
            <w:r>
              <w:rPr>
                <w:sz w:val="16"/>
                <w:vertAlign w:val="superscript"/>
              </w:rPr>
              <w:t>2</w:t>
            </w:r>
          </w:p>
          <w:p>
            <w:pPr>
              <w:pStyle w:val="TableParagraph"/>
              <w:spacing w:line="298" w:lineRule="exact" w:before="23"/>
              <w:ind w:right="1959"/>
              <w:rPr>
                <w:sz w:val="16"/>
              </w:rPr>
            </w:pPr>
            <w:r>
              <w:rPr>
                <w:sz w:val="16"/>
              </w:rPr>
              <w:t>souvisí bezprostředně s provozem města nenaruší krajinný ráz</w:t>
            </w:r>
          </w:p>
        </w:tc>
      </w:tr>
      <w:tr>
        <w:trPr>
          <w:trHeight w:val="3436" w:hRule="atLeast"/>
        </w:trPr>
        <w:tc>
          <w:tcPr>
            <w:tcW w:w="4603" w:type="dxa"/>
          </w:tcPr>
          <w:p>
            <w:pPr>
              <w:pStyle w:val="TableParagraph"/>
              <w:spacing w:before="85"/>
              <w:rPr>
                <w:b/>
                <w:sz w:val="16"/>
              </w:rPr>
            </w:pPr>
            <w:r>
              <w:rPr>
                <w:b/>
                <w:sz w:val="16"/>
              </w:rPr>
              <w:t>základní vybavenost území</w:t>
            </w:r>
          </w:p>
          <w:p>
            <w:pPr>
              <w:pStyle w:val="TableParagraph"/>
              <w:spacing w:before="61"/>
              <w:ind w:right="246"/>
              <w:rPr>
                <w:sz w:val="16"/>
              </w:rPr>
            </w:pPr>
            <w:r>
              <w:rPr>
                <w:sz w:val="16"/>
              </w:rPr>
              <w:t>terénní úpravy kromě těžebních prací a skládek odpadů, opěrné zdi, propustky a přemostění, oplocenky a ohradníky</w:t>
            </w:r>
          </w:p>
          <w:p>
            <w:pPr>
              <w:pStyle w:val="TableParagraph"/>
              <w:spacing w:before="57"/>
              <w:ind w:right="118" w:hanging="1"/>
              <w:rPr>
                <w:sz w:val="16"/>
              </w:rPr>
            </w:pPr>
            <w:r>
              <w:rPr>
                <w:sz w:val="16"/>
              </w:rPr>
              <w:t>vodní toky a vodní plochy do 2 000 m</w:t>
            </w:r>
            <w:r>
              <w:rPr>
                <w:sz w:val="16"/>
                <w:vertAlign w:val="superscript"/>
              </w:rPr>
              <w:t>2</w:t>
            </w:r>
            <w:r>
              <w:rPr>
                <w:sz w:val="16"/>
                <w:vertAlign w:val="baseline"/>
              </w:rPr>
              <w:t>, plošné a liniové prvky ochranné a doprovodné zeleně vč. biokoridorů ÚSES a IP</w:t>
            </w:r>
          </w:p>
          <w:p>
            <w:pPr>
              <w:pStyle w:val="TableParagraph"/>
              <w:spacing w:before="57"/>
              <w:ind w:right="264" w:hanging="1"/>
              <w:rPr>
                <w:sz w:val="16"/>
              </w:rPr>
            </w:pPr>
            <w:r>
              <w:rPr>
                <w:sz w:val="16"/>
              </w:rPr>
              <w:t>veřejná prostranství - místní komunikace zpřístupňující objekty a pozemky v ploše, komunikace, pobytové prostory s vyloučením motorové dopravy, zastávky VDO</w:t>
            </w:r>
          </w:p>
          <w:p>
            <w:pPr>
              <w:pStyle w:val="TableParagraph"/>
              <w:spacing w:before="57"/>
              <w:ind w:right="156"/>
              <w:rPr>
                <w:sz w:val="16"/>
              </w:rPr>
            </w:pPr>
            <w:r>
              <w:rPr>
                <w:sz w:val="16"/>
              </w:rPr>
              <w:t>technická Infrastruktura - liniové stavby a plošně nenáročná zařízení vodovodů, kanalizace, produktovodů, energetických zařízení vč. obnovitelných zdrojů, elektronických komunikací</w:t>
            </w:r>
          </w:p>
          <w:p>
            <w:pPr>
              <w:pStyle w:val="TableParagraph"/>
              <w:spacing w:before="55"/>
              <w:ind w:right="940"/>
              <w:rPr>
                <w:sz w:val="16"/>
              </w:rPr>
            </w:pPr>
            <w:r>
              <w:rPr>
                <w:sz w:val="16"/>
              </w:rPr>
              <w:t>rekreační využití krajiny – mobiliář, stavby drobné architektury do 10 m</w:t>
            </w:r>
            <w:r>
              <w:rPr>
                <w:sz w:val="16"/>
                <w:vertAlign w:val="superscript"/>
              </w:rPr>
              <w:t>2</w:t>
            </w:r>
            <w:r>
              <w:rPr>
                <w:sz w:val="16"/>
                <w:vertAlign w:val="baseline"/>
              </w:rPr>
              <w:t> bez pobytových místností</w:t>
            </w:r>
          </w:p>
          <w:p>
            <w:pPr>
              <w:pStyle w:val="TableParagraph"/>
              <w:spacing w:before="57"/>
              <w:ind w:right="335"/>
              <w:rPr>
                <w:sz w:val="16"/>
              </w:rPr>
            </w:pPr>
            <w:r>
              <w:rPr>
                <w:sz w:val="16"/>
              </w:rPr>
              <w:t>informační zařízení, která zlepšují podmínky využití území pro účely rekreace a cestovního ruchu</w:t>
            </w:r>
          </w:p>
          <w:p>
            <w:pPr>
              <w:pStyle w:val="TableParagraph"/>
              <w:spacing w:line="168" w:lineRule="exact" w:before="59"/>
              <w:rPr>
                <w:sz w:val="16"/>
              </w:rPr>
            </w:pPr>
            <w:r>
              <w:rPr>
                <w:sz w:val="16"/>
              </w:rPr>
              <w:t>ochrana před povodněmi, erozí, hlukem, exhalacemi</w:t>
            </w:r>
          </w:p>
        </w:tc>
        <w:tc>
          <w:tcPr>
            <w:tcW w:w="5035" w:type="dxa"/>
          </w:tcPr>
          <w:p>
            <w:pPr>
              <w:pStyle w:val="TableParagraph"/>
              <w:spacing w:before="32"/>
              <w:ind w:right="918"/>
              <w:rPr>
                <w:sz w:val="16"/>
              </w:rPr>
            </w:pPr>
            <w:r>
              <w:rPr>
                <w:sz w:val="16"/>
              </w:rPr>
              <w:t>slouží bezprostředně k zajištění hlavního, přípustného a podmíněně přípustného využití dané plochy</w:t>
            </w:r>
          </w:p>
          <w:p>
            <w:pPr>
              <w:pStyle w:val="TableParagraph"/>
              <w:spacing w:before="57"/>
              <w:ind w:right="437"/>
              <w:rPr>
                <w:sz w:val="16"/>
              </w:rPr>
            </w:pPr>
            <w:r>
              <w:rPr>
                <w:sz w:val="16"/>
              </w:rPr>
              <w:t>charakterem a kapacitou odpovídají charakteru a výměře dané plochy</w:t>
            </w:r>
          </w:p>
          <w:p>
            <w:pPr>
              <w:pStyle w:val="TableParagraph"/>
              <w:spacing w:before="57"/>
              <w:ind w:right="437"/>
              <w:rPr>
                <w:sz w:val="16"/>
              </w:rPr>
            </w:pPr>
            <w:r>
              <w:rPr>
                <w:sz w:val="16"/>
              </w:rPr>
              <w:t>jsou technologicky přímo vázané na dané stanoviště a nelze je odůvodněně umístit v příslušných zastavitelných plochách</w:t>
            </w:r>
          </w:p>
          <w:p>
            <w:pPr>
              <w:pStyle w:val="TableParagraph"/>
              <w:spacing w:before="57"/>
              <w:rPr>
                <w:sz w:val="16"/>
              </w:rPr>
            </w:pPr>
            <w:r>
              <w:rPr>
                <w:sz w:val="16"/>
              </w:rPr>
              <w:t>budou splněny požadavky na celistvost a funkčnost dané plochy</w:t>
            </w:r>
          </w:p>
          <w:p>
            <w:pPr>
              <w:pStyle w:val="TableParagraph"/>
              <w:spacing w:before="58"/>
              <w:ind w:right="562"/>
              <w:rPr>
                <w:sz w:val="16"/>
              </w:rPr>
            </w:pPr>
            <w:r>
              <w:rPr>
                <w:sz w:val="16"/>
              </w:rPr>
              <w:t>nebude narušen krajinný ráz, protierozní ochrana a odtokové poměry a prostupnost krajiny</w:t>
            </w:r>
          </w:p>
          <w:p>
            <w:pPr>
              <w:pStyle w:val="TableParagraph"/>
              <w:spacing w:before="57"/>
              <w:ind w:right="295"/>
              <w:rPr>
                <w:sz w:val="16"/>
              </w:rPr>
            </w:pPr>
            <w:r>
              <w:rPr>
                <w:sz w:val="16"/>
              </w:rPr>
              <w:t>na území CHKO JH a Přírodního parku Ještěd nebude narušena ekologická funkce krajiny</w:t>
            </w:r>
          </w:p>
        </w:tc>
      </w:tr>
      <w:tr>
        <w:trPr>
          <w:trHeight w:val="297" w:hRule="atLeast"/>
        </w:trPr>
        <w:tc>
          <w:tcPr>
            <w:tcW w:w="4603" w:type="dxa"/>
            <w:shd w:val="clear" w:color="auto" w:fill="CCFFFF"/>
          </w:tcPr>
          <w:p>
            <w:pPr>
              <w:pStyle w:val="TableParagraph"/>
              <w:spacing w:line="171" w:lineRule="exact" w:before="106"/>
              <w:rPr>
                <w:b/>
                <w:sz w:val="16"/>
              </w:rPr>
            </w:pPr>
            <w:r>
              <w:rPr>
                <w:b/>
                <w:sz w:val="16"/>
              </w:rPr>
              <w:t>NEPŘÍPUSTNÉ VYUŽITÍ</w:t>
            </w:r>
          </w:p>
        </w:tc>
        <w:tc>
          <w:tcPr>
            <w:tcW w:w="5035" w:type="dxa"/>
            <w:shd w:val="clear" w:color="auto" w:fill="CCFFFF"/>
          </w:tcPr>
          <w:p>
            <w:pPr>
              <w:pStyle w:val="TableParagraph"/>
              <w:ind w:left="0"/>
              <w:rPr>
                <w:rFonts w:ascii="Times New Roman"/>
                <w:sz w:val="16"/>
              </w:rPr>
            </w:pPr>
          </w:p>
        </w:tc>
      </w:tr>
      <w:tr>
        <w:trPr>
          <w:trHeight w:val="892" w:hRule="atLeast"/>
        </w:trPr>
        <w:tc>
          <w:tcPr>
            <w:tcW w:w="4603" w:type="dxa"/>
          </w:tcPr>
          <w:p>
            <w:pPr>
              <w:pStyle w:val="TableParagraph"/>
              <w:spacing w:before="106"/>
              <w:rPr>
                <w:b/>
                <w:sz w:val="16"/>
              </w:rPr>
            </w:pPr>
            <w:r>
              <w:rPr>
                <w:b/>
                <w:sz w:val="16"/>
              </w:rPr>
              <w:t>zejména využití, u kterého existuje riziko, že:</w:t>
            </w:r>
          </w:p>
          <w:p>
            <w:pPr>
              <w:pStyle w:val="TableParagraph"/>
              <w:spacing w:line="290" w:lineRule="atLeast" w:before="10"/>
              <w:ind w:right="1544"/>
              <w:rPr>
                <w:sz w:val="16"/>
              </w:rPr>
            </w:pPr>
            <w:r>
              <w:rPr>
                <w:sz w:val="16"/>
              </w:rPr>
              <w:t>naruší kvalitu prostředí plochy lesní naruší celistvost a funkčnost plochy lesní</w:t>
            </w:r>
          </w:p>
        </w:tc>
        <w:tc>
          <w:tcPr>
            <w:tcW w:w="5035" w:type="dxa"/>
          </w:tcPr>
          <w:p>
            <w:pPr>
              <w:pStyle w:val="TableParagraph"/>
              <w:ind w:left="0"/>
              <w:rPr>
                <w:rFonts w:ascii="Times New Roman"/>
                <w:sz w:val="16"/>
              </w:rPr>
            </w:pPr>
          </w:p>
        </w:tc>
      </w:tr>
    </w:tbl>
    <w:p>
      <w:pPr>
        <w:spacing w:after="0"/>
        <w:rPr>
          <w:rFonts w:ascii="Times New Roman"/>
          <w:sz w:val="16"/>
        </w:rPr>
        <w:sectPr>
          <w:pgSz w:w="11900" w:h="16840"/>
          <w:pgMar w:header="561" w:footer="582" w:top="760" w:bottom="780" w:left="960" w:right="980"/>
        </w:sectPr>
      </w:pPr>
    </w:p>
    <w:p>
      <w:pPr>
        <w:pStyle w:val="BodyText"/>
        <w:ind w:left="0" w:firstLine="0"/>
        <w:jc w:val="left"/>
        <w:rPr>
          <w:b/>
          <w:sz w:val="20"/>
        </w:rPr>
      </w:pPr>
    </w:p>
    <w:p>
      <w:pPr>
        <w:pStyle w:val="BodyText"/>
        <w:spacing w:before="7"/>
        <w:ind w:left="0" w:firstLine="0"/>
        <w:jc w:val="left"/>
        <w:rPr>
          <w:b/>
          <w:sz w:val="11"/>
        </w:r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03"/>
        <w:gridCol w:w="5035"/>
      </w:tblGrid>
      <w:tr>
        <w:trPr>
          <w:trHeight w:val="311" w:hRule="atLeast"/>
        </w:trPr>
        <w:tc>
          <w:tcPr>
            <w:tcW w:w="4603" w:type="dxa"/>
            <w:shd w:val="clear" w:color="auto" w:fill="32CCCC"/>
          </w:tcPr>
          <w:p>
            <w:pPr>
              <w:pStyle w:val="TableParagraph"/>
              <w:spacing w:line="237" w:lineRule="exact" w:before="55"/>
              <w:rPr>
                <w:b/>
                <w:sz w:val="22"/>
              </w:rPr>
            </w:pPr>
            <w:r>
              <w:rPr>
                <w:b/>
                <w:sz w:val="22"/>
              </w:rPr>
              <w:t>PLOCHY PŘÍRODNÍ (LESNÍ / NELESNÍ)</w:t>
            </w:r>
          </w:p>
        </w:tc>
        <w:tc>
          <w:tcPr>
            <w:tcW w:w="5035" w:type="dxa"/>
            <w:shd w:val="clear" w:color="auto" w:fill="32CCCC"/>
          </w:tcPr>
          <w:p>
            <w:pPr>
              <w:pStyle w:val="TableParagraph"/>
              <w:spacing w:line="237" w:lineRule="exact" w:before="55"/>
              <w:rPr>
                <w:b/>
                <w:sz w:val="22"/>
              </w:rPr>
            </w:pPr>
            <w:r>
              <w:rPr>
                <w:b/>
                <w:w w:val="100"/>
                <w:sz w:val="22"/>
              </w:rPr>
              <w:t>N</w:t>
            </w:r>
          </w:p>
        </w:tc>
      </w:tr>
      <w:tr>
        <w:trPr>
          <w:trHeight w:val="239" w:hRule="atLeast"/>
        </w:trPr>
        <w:tc>
          <w:tcPr>
            <w:tcW w:w="4603" w:type="dxa"/>
            <w:shd w:val="clear" w:color="auto" w:fill="CCFFFF"/>
          </w:tcPr>
          <w:p>
            <w:pPr>
              <w:pStyle w:val="TableParagraph"/>
              <w:spacing w:line="166" w:lineRule="exact" w:before="53"/>
              <w:rPr>
                <w:sz w:val="16"/>
              </w:rPr>
            </w:pPr>
            <w:r>
              <w:rPr>
                <w:sz w:val="16"/>
              </w:rPr>
              <w:t>pozemky pro stavby, zařízení, úpravy, kultury, činnosti</w:t>
            </w:r>
          </w:p>
        </w:tc>
        <w:tc>
          <w:tcPr>
            <w:tcW w:w="5035" w:type="dxa"/>
            <w:shd w:val="clear" w:color="auto" w:fill="CCFFFF"/>
          </w:tcPr>
          <w:p>
            <w:pPr>
              <w:pStyle w:val="TableParagraph"/>
              <w:ind w:left="0"/>
              <w:rPr>
                <w:rFonts w:ascii="Times New Roman"/>
                <w:sz w:val="16"/>
              </w:rPr>
            </w:pPr>
          </w:p>
        </w:tc>
      </w:tr>
      <w:tr>
        <w:trPr>
          <w:trHeight w:val="241" w:hRule="atLeast"/>
        </w:trPr>
        <w:tc>
          <w:tcPr>
            <w:tcW w:w="4603" w:type="dxa"/>
            <w:shd w:val="clear" w:color="auto" w:fill="CCFFFF"/>
          </w:tcPr>
          <w:p>
            <w:pPr>
              <w:pStyle w:val="TableParagraph"/>
              <w:spacing w:line="168" w:lineRule="exact" w:before="53"/>
              <w:rPr>
                <w:b/>
                <w:sz w:val="16"/>
              </w:rPr>
            </w:pPr>
            <w:r>
              <w:rPr>
                <w:b/>
                <w:sz w:val="16"/>
              </w:rPr>
              <w:t>HLAVNÍ VYUŽITÍ</w:t>
            </w:r>
          </w:p>
        </w:tc>
        <w:tc>
          <w:tcPr>
            <w:tcW w:w="5035" w:type="dxa"/>
            <w:shd w:val="clear" w:color="auto" w:fill="CCFFFF"/>
          </w:tcPr>
          <w:p>
            <w:pPr>
              <w:pStyle w:val="TableParagraph"/>
              <w:ind w:left="0"/>
              <w:rPr>
                <w:rFonts w:ascii="Times New Roman"/>
                <w:sz w:val="16"/>
              </w:rPr>
            </w:pPr>
          </w:p>
        </w:tc>
      </w:tr>
      <w:tr>
        <w:trPr>
          <w:trHeight w:val="664" w:hRule="atLeast"/>
        </w:trPr>
        <w:tc>
          <w:tcPr>
            <w:tcW w:w="4603" w:type="dxa"/>
          </w:tcPr>
          <w:p>
            <w:pPr>
              <w:pStyle w:val="TableParagraph"/>
              <w:spacing w:before="106"/>
              <w:ind w:left="155"/>
              <w:rPr>
                <w:b/>
                <w:sz w:val="16"/>
              </w:rPr>
            </w:pPr>
            <w:r>
              <w:rPr>
                <w:b/>
                <w:sz w:val="16"/>
              </w:rPr>
              <w:t>lesní porosty s určujícími funkcemi dle kategorizace lesů</w:t>
            </w:r>
          </w:p>
          <w:p>
            <w:pPr>
              <w:pStyle w:val="TableParagraph"/>
              <w:spacing w:line="180" w:lineRule="atLeast" w:before="3"/>
              <w:ind w:left="155" w:right="167"/>
              <w:rPr>
                <w:sz w:val="16"/>
              </w:rPr>
            </w:pPr>
            <w:r>
              <w:rPr>
                <w:sz w:val="16"/>
              </w:rPr>
              <w:t>- zejména lesy zvláštního určení sloužící zajištění podmínek ochrany přírody a ekologické stability území</w:t>
            </w:r>
          </w:p>
        </w:tc>
        <w:tc>
          <w:tcPr>
            <w:tcW w:w="5035" w:type="dxa"/>
          </w:tcPr>
          <w:p>
            <w:pPr>
              <w:pStyle w:val="TableParagraph"/>
              <w:ind w:left="0"/>
              <w:rPr>
                <w:rFonts w:ascii="Times New Roman"/>
                <w:sz w:val="16"/>
              </w:rPr>
            </w:pPr>
          </w:p>
        </w:tc>
      </w:tr>
      <w:tr>
        <w:trPr>
          <w:trHeight w:val="793" w:hRule="atLeast"/>
        </w:trPr>
        <w:tc>
          <w:tcPr>
            <w:tcW w:w="4603" w:type="dxa"/>
          </w:tcPr>
          <w:p>
            <w:pPr>
              <w:pStyle w:val="TableParagraph"/>
              <w:spacing w:before="51"/>
              <w:ind w:left="155" w:right="158"/>
              <w:rPr>
                <w:sz w:val="16"/>
              </w:rPr>
            </w:pPr>
            <w:r>
              <w:rPr>
                <w:b/>
                <w:sz w:val="16"/>
              </w:rPr>
              <w:t>přírodní a přírodě blízké nelesní ekosystémy </w:t>
            </w:r>
            <w:r>
              <w:rPr>
                <w:sz w:val="16"/>
              </w:rPr>
              <w:t>- zejména extenzivně využívaná orná půda, trvalé travní porosty (louky a pastviny), nelesní zeleň sloužící zajištění podmínek</w:t>
            </w:r>
          </w:p>
          <w:p>
            <w:pPr>
              <w:pStyle w:val="TableParagraph"/>
              <w:spacing w:line="168" w:lineRule="exact" w:before="2"/>
              <w:ind w:left="155"/>
              <w:rPr>
                <w:sz w:val="16"/>
              </w:rPr>
            </w:pPr>
            <w:r>
              <w:rPr>
                <w:sz w:val="16"/>
              </w:rPr>
              <w:t>ochrany přírody a ekologické stability území</w:t>
            </w:r>
          </w:p>
        </w:tc>
        <w:tc>
          <w:tcPr>
            <w:tcW w:w="5035" w:type="dxa"/>
          </w:tcPr>
          <w:p>
            <w:pPr>
              <w:pStyle w:val="TableParagraph"/>
              <w:ind w:left="0"/>
              <w:rPr>
                <w:rFonts w:ascii="Times New Roman"/>
                <w:sz w:val="16"/>
              </w:rPr>
            </w:pPr>
          </w:p>
        </w:tc>
      </w:tr>
      <w:tr>
        <w:trPr>
          <w:trHeight w:val="239" w:hRule="atLeast"/>
        </w:trPr>
        <w:tc>
          <w:tcPr>
            <w:tcW w:w="4603" w:type="dxa"/>
            <w:shd w:val="clear" w:color="auto" w:fill="CCFFFF"/>
          </w:tcPr>
          <w:p>
            <w:pPr>
              <w:pStyle w:val="TableParagraph"/>
              <w:spacing w:line="168" w:lineRule="exact" w:before="51"/>
              <w:rPr>
                <w:b/>
                <w:sz w:val="16"/>
              </w:rPr>
            </w:pPr>
            <w:r>
              <w:rPr>
                <w:b/>
                <w:sz w:val="16"/>
              </w:rPr>
              <w:t>PŘÍPUSTNÉ VYUŽITÍ</w:t>
            </w:r>
          </w:p>
        </w:tc>
        <w:tc>
          <w:tcPr>
            <w:tcW w:w="5035" w:type="dxa"/>
            <w:shd w:val="clear" w:color="auto" w:fill="CCFFFF"/>
          </w:tcPr>
          <w:p>
            <w:pPr>
              <w:pStyle w:val="TableParagraph"/>
              <w:ind w:left="0"/>
              <w:rPr>
                <w:rFonts w:ascii="Times New Roman"/>
                <w:sz w:val="16"/>
              </w:rPr>
            </w:pPr>
          </w:p>
        </w:tc>
      </w:tr>
      <w:tr>
        <w:trPr>
          <w:trHeight w:val="241" w:hRule="atLeast"/>
        </w:trPr>
        <w:tc>
          <w:tcPr>
            <w:tcW w:w="4603" w:type="dxa"/>
          </w:tcPr>
          <w:p>
            <w:pPr>
              <w:pStyle w:val="TableParagraph"/>
              <w:spacing w:line="168" w:lineRule="exact" w:before="53"/>
              <w:ind w:left="155"/>
              <w:rPr>
                <w:b/>
                <w:sz w:val="16"/>
              </w:rPr>
            </w:pPr>
            <w:r>
              <w:rPr>
                <w:b/>
                <w:w w:val="100"/>
                <w:sz w:val="16"/>
              </w:rPr>
              <w:t>-</w:t>
            </w:r>
          </w:p>
        </w:tc>
        <w:tc>
          <w:tcPr>
            <w:tcW w:w="5035" w:type="dxa"/>
          </w:tcPr>
          <w:p>
            <w:pPr>
              <w:pStyle w:val="TableParagraph"/>
              <w:ind w:left="0"/>
              <w:rPr>
                <w:rFonts w:ascii="Times New Roman"/>
                <w:sz w:val="16"/>
              </w:rPr>
            </w:pPr>
          </w:p>
        </w:tc>
      </w:tr>
      <w:tr>
        <w:trPr>
          <w:trHeight w:val="1389" w:hRule="atLeast"/>
        </w:trPr>
        <w:tc>
          <w:tcPr>
            <w:tcW w:w="4603" w:type="dxa"/>
            <w:vMerge w:val="restart"/>
            <w:shd w:val="clear" w:color="auto" w:fill="CCFFFF"/>
          </w:tcPr>
          <w:p>
            <w:pPr>
              <w:pStyle w:val="TableParagraph"/>
              <w:spacing w:before="51"/>
              <w:rPr>
                <w:b/>
                <w:sz w:val="16"/>
              </w:rPr>
            </w:pPr>
            <w:r>
              <w:rPr>
                <w:b/>
                <w:sz w:val="16"/>
              </w:rPr>
              <w:t>PODMÍNĚNĚ PŘÍPUSTNÉ VYUŽITÍ</w:t>
            </w:r>
          </w:p>
        </w:tc>
        <w:tc>
          <w:tcPr>
            <w:tcW w:w="5035" w:type="dxa"/>
            <w:shd w:val="clear" w:color="auto" w:fill="CCFFFF"/>
          </w:tcPr>
          <w:p>
            <w:pPr>
              <w:pStyle w:val="TableParagraph"/>
              <w:spacing w:line="244" w:lineRule="auto" w:before="51"/>
              <w:ind w:right="260"/>
              <w:rPr>
                <w:sz w:val="16"/>
              </w:rPr>
            </w:pPr>
            <w:r>
              <w:rPr>
                <w:b/>
                <w:sz w:val="16"/>
              </w:rPr>
              <w:t>obecné podmínky: </w:t>
            </w:r>
            <w:r>
              <w:rPr>
                <w:sz w:val="16"/>
              </w:rPr>
              <w:t>prokázat přiměřenost jeho dopadů ve vztahu k hlavnímu a přípustnému využití z hlediska:</w:t>
            </w:r>
          </w:p>
          <w:p>
            <w:pPr>
              <w:pStyle w:val="TableParagraph"/>
              <w:spacing w:before="52"/>
              <w:rPr>
                <w:sz w:val="16"/>
              </w:rPr>
            </w:pPr>
            <w:r>
              <w:rPr>
                <w:sz w:val="16"/>
              </w:rPr>
              <w:t>významu v širším území</w:t>
            </w:r>
          </w:p>
          <w:p>
            <w:pPr>
              <w:pStyle w:val="TableParagraph"/>
              <w:spacing w:line="312" w:lineRule="auto" w:before="58"/>
              <w:ind w:right="1496"/>
              <w:rPr>
                <w:sz w:val="16"/>
              </w:rPr>
            </w:pPr>
            <w:r>
              <w:rPr>
                <w:sz w:val="16"/>
              </w:rPr>
              <w:t>narušení kvality prostředí resp. pohody bydlení charakteru a kapacity napojení na infrastrukturu</w:t>
            </w:r>
          </w:p>
          <w:p>
            <w:pPr>
              <w:pStyle w:val="TableParagraph"/>
              <w:spacing w:line="168" w:lineRule="exact" w:before="2"/>
              <w:rPr>
                <w:sz w:val="16"/>
              </w:rPr>
            </w:pPr>
            <w:r>
              <w:rPr>
                <w:sz w:val="16"/>
              </w:rPr>
              <w:t>vyvolaných omezení ve smyslu hygienických a dalších předpisů</w:t>
            </w:r>
          </w:p>
        </w:tc>
      </w:tr>
      <w:tr>
        <w:trPr>
          <w:trHeight w:val="239" w:hRule="atLeast"/>
        </w:trPr>
        <w:tc>
          <w:tcPr>
            <w:tcW w:w="4603" w:type="dxa"/>
            <w:vMerge/>
            <w:tcBorders>
              <w:top w:val="nil"/>
            </w:tcBorders>
            <w:shd w:val="clear" w:color="auto" w:fill="CCFFFF"/>
          </w:tcPr>
          <w:p>
            <w:pPr>
              <w:rPr>
                <w:sz w:val="2"/>
                <w:szCs w:val="2"/>
              </w:rPr>
            </w:pPr>
          </w:p>
        </w:tc>
        <w:tc>
          <w:tcPr>
            <w:tcW w:w="5035" w:type="dxa"/>
            <w:shd w:val="clear" w:color="auto" w:fill="CCFFFF"/>
          </w:tcPr>
          <w:p>
            <w:pPr>
              <w:pStyle w:val="TableParagraph"/>
              <w:spacing w:line="168" w:lineRule="exact" w:before="51"/>
              <w:rPr>
                <w:b/>
                <w:sz w:val="16"/>
              </w:rPr>
            </w:pPr>
            <w:r>
              <w:rPr>
                <w:b/>
                <w:sz w:val="16"/>
              </w:rPr>
              <w:t>specifické podmínky:</w:t>
            </w:r>
          </w:p>
        </w:tc>
      </w:tr>
      <w:tr>
        <w:trPr>
          <w:trHeight w:val="2238" w:hRule="atLeast"/>
        </w:trPr>
        <w:tc>
          <w:tcPr>
            <w:tcW w:w="4603" w:type="dxa"/>
          </w:tcPr>
          <w:p>
            <w:pPr>
              <w:pStyle w:val="TableParagraph"/>
              <w:spacing w:before="109"/>
              <w:ind w:right="211"/>
              <w:rPr>
                <w:sz w:val="16"/>
              </w:rPr>
            </w:pPr>
            <w:r>
              <w:rPr>
                <w:b/>
                <w:sz w:val="16"/>
              </w:rPr>
              <w:t>zajištění veřejného povědomí o přírodních hodnotách lokalit zájmů ochrany přírody a krajiny </w:t>
            </w:r>
            <w:r>
              <w:rPr>
                <w:sz w:val="16"/>
              </w:rPr>
              <w:t>- zejména naučné stezky s doprovodnými informačními prvky</w:t>
            </w:r>
          </w:p>
        </w:tc>
        <w:tc>
          <w:tcPr>
            <w:tcW w:w="5035" w:type="dxa"/>
          </w:tcPr>
          <w:p>
            <w:pPr>
              <w:pStyle w:val="TableParagraph"/>
              <w:spacing w:before="56"/>
              <w:ind w:right="918"/>
              <w:rPr>
                <w:sz w:val="16"/>
              </w:rPr>
            </w:pPr>
            <w:r>
              <w:rPr>
                <w:sz w:val="16"/>
              </w:rPr>
              <w:t>slouží bezprostředně k zajištění hlavního, přípustného a podmíněně přípustného využití dané plochy</w:t>
            </w:r>
          </w:p>
          <w:p>
            <w:pPr>
              <w:pStyle w:val="TableParagraph"/>
              <w:spacing w:before="57"/>
              <w:ind w:right="437"/>
              <w:rPr>
                <w:sz w:val="16"/>
              </w:rPr>
            </w:pPr>
            <w:r>
              <w:rPr>
                <w:sz w:val="16"/>
              </w:rPr>
              <w:t>charakterem a kapacitou odpovídají charakteru a výměře dané plochy</w:t>
            </w:r>
          </w:p>
          <w:p>
            <w:pPr>
              <w:pStyle w:val="TableParagraph"/>
              <w:spacing w:before="112"/>
              <w:ind w:right="437"/>
              <w:rPr>
                <w:sz w:val="16"/>
              </w:rPr>
            </w:pPr>
            <w:r>
              <w:rPr>
                <w:sz w:val="16"/>
              </w:rPr>
              <w:t>jsou technologicky přímo vázané na dané stanoviště a nelze je odůvodněně umístit v příslušných zastavitelných plochách</w:t>
            </w:r>
          </w:p>
          <w:p>
            <w:pPr>
              <w:pStyle w:val="TableParagraph"/>
              <w:spacing w:before="57"/>
              <w:rPr>
                <w:sz w:val="16"/>
              </w:rPr>
            </w:pPr>
            <w:r>
              <w:rPr>
                <w:sz w:val="16"/>
              </w:rPr>
              <w:t>budou splněny požadavky na celistvost a funkčnost dané plochy</w:t>
            </w:r>
          </w:p>
          <w:p>
            <w:pPr>
              <w:pStyle w:val="TableParagraph"/>
              <w:spacing w:before="58"/>
              <w:ind w:right="562"/>
              <w:rPr>
                <w:sz w:val="16"/>
              </w:rPr>
            </w:pPr>
            <w:r>
              <w:rPr>
                <w:sz w:val="16"/>
              </w:rPr>
              <w:t>nebude narušen krajinný ráz, protierozní ochrana a odtokové poměry a prostupnost krajiny</w:t>
            </w:r>
          </w:p>
          <w:p>
            <w:pPr>
              <w:pStyle w:val="TableParagraph"/>
              <w:spacing w:line="166" w:lineRule="exact" w:before="57"/>
              <w:rPr>
                <w:sz w:val="16"/>
              </w:rPr>
            </w:pPr>
            <w:r>
              <w:rPr>
                <w:sz w:val="16"/>
              </w:rPr>
              <w:t>nebude narušena ekologická funkce krajiny</w:t>
            </w:r>
          </w:p>
        </w:tc>
      </w:tr>
      <w:tr>
        <w:trPr>
          <w:trHeight w:val="3457" w:hRule="atLeast"/>
        </w:trPr>
        <w:tc>
          <w:tcPr>
            <w:tcW w:w="4603" w:type="dxa"/>
          </w:tcPr>
          <w:p>
            <w:pPr>
              <w:pStyle w:val="TableParagraph"/>
              <w:spacing w:before="106"/>
              <w:rPr>
                <w:b/>
                <w:sz w:val="16"/>
              </w:rPr>
            </w:pPr>
            <w:r>
              <w:rPr>
                <w:b/>
                <w:sz w:val="16"/>
              </w:rPr>
              <w:t>základní vybavenost území</w:t>
            </w:r>
          </w:p>
          <w:p>
            <w:pPr>
              <w:pStyle w:val="TableParagraph"/>
              <w:spacing w:before="61"/>
              <w:ind w:right="246"/>
              <w:rPr>
                <w:sz w:val="16"/>
              </w:rPr>
            </w:pPr>
            <w:r>
              <w:rPr>
                <w:sz w:val="16"/>
              </w:rPr>
              <w:t>terénní úpravy kromě těžebních prací a skládek odpadů, opěrné zdi, propustky a přemostění, oplocenky a ohradníky</w:t>
            </w:r>
          </w:p>
          <w:p>
            <w:pPr>
              <w:pStyle w:val="TableParagraph"/>
              <w:spacing w:before="57"/>
              <w:ind w:right="118" w:hanging="1"/>
              <w:rPr>
                <w:sz w:val="16"/>
              </w:rPr>
            </w:pPr>
            <w:r>
              <w:rPr>
                <w:sz w:val="16"/>
              </w:rPr>
              <w:t>vodní toky a vodní plochy do 2 000 m</w:t>
            </w:r>
            <w:r>
              <w:rPr>
                <w:sz w:val="16"/>
                <w:vertAlign w:val="superscript"/>
              </w:rPr>
              <w:t>2</w:t>
            </w:r>
            <w:r>
              <w:rPr>
                <w:sz w:val="16"/>
                <w:vertAlign w:val="baseline"/>
              </w:rPr>
              <w:t>, plošné a liniové prvky ochranné a doprovodné zeleně vč. biokoridorů ÚSES a IP</w:t>
            </w:r>
          </w:p>
          <w:p>
            <w:pPr>
              <w:pStyle w:val="TableParagraph"/>
              <w:spacing w:before="57"/>
              <w:ind w:right="264" w:hanging="1"/>
              <w:rPr>
                <w:sz w:val="16"/>
              </w:rPr>
            </w:pPr>
            <w:r>
              <w:rPr>
                <w:sz w:val="16"/>
              </w:rPr>
              <w:t>veřejná prostranství - místní komunikace zpřístupňující objekty a pozemky v ploše, komunikace, pobytové prostory s vyloučením motorové dopravy, zastávky VDO</w:t>
            </w:r>
          </w:p>
          <w:p>
            <w:pPr>
              <w:pStyle w:val="TableParagraph"/>
              <w:spacing w:before="57"/>
              <w:ind w:right="156"/>
              <w:rPr>
                <w:sz w:val="16"/>
              </w:rPr>
            </w:pPr>
            <w:r>
              <w:rPr>
                <w:sz w:val="16"/>
              </w:rPr>
              <w:t>technická Infrastruktura - liniové stavby a plošně nenáročná zařízení vodovodů, kanalizace, produktovodů, energetických zařízení vč. obnovitelných zdrojů, elektronických komunikací</w:t>
            </w:r>
          </w:p>
          <w:p>
            <w:pPr>
              <w:pStyle w:val="TableParagraph"/>
              <w:spacing w:before="58"/>
              <w:ind w:right="940"/>
              <w:rPr>
                <w:sz w:val="16"/>
              </w:rPr>
            </w:pPr>
            <w:r>
              <w:rPr>
                <w:sz w:val="16"/>
              </w:rPr>
              <w:t>rekreační využití krajiny – mobiliář, stavby drobné architektury do 10 m</w:t>
            </w:r>
            <w:r>
              <w:rPr>
                <w:sz w:val="16"/>
                <w:vertAlign w:val="superscript"/>
              </w:rPr>
              <w:t>2</w:t>
            </w:r>
            <w:r>
              <w:rPr>
                <w:sz w:val="16"/>
                <w:vertAlign w:val="baseline"/>
              </w:rPr>
              <w:t> bez pobytových místností</w:t>
            </w:r>
          </w:p>
          <w:p>
            <w:pPr>
              <w:pStyle w:val="TableParagraph"/>
              <w:spacing w:before="57"/>
              <w:ind w:right="335"/>
              <w:rPr>
                <w:sz w:val="16"/>
              </w:rPr>
            </w:pPr>
            <w:r>
              <w:rPr>
                <w:sz w:val="16"/>
              </w:rPr>
              <w:t>informační zařízení, která zlepšují podmínky využití území pro účely rekreace a cestovního ruchu</w:t>
            </w:r>
          </w:p>
          <w:p>
            <w:pPr>
              <w:pStyle w:val="TableParagraph"/>
              <w:spacing w:line="166" w:lineRule="exact" w:before="59"/>
              <w:rPr>
                <w:sz w:val="16"/>
              </w:rPr>
            </w:pPr>
            <w:r>
              <w:rPr>
                <w:sz w:val="16"/>
              </w:rPr>
              <w:t>ochrana před povodněmi, erozí, hlukem, exhalacemi</w:t>
            </w:r>
          </w:p>
        </w:tc>
        <w:tc>
          <w:tcPr>
            <w:tcW w:w="5035" w:type="dxa"/>
          </w:tcPr>
          <w:p>
            <w:pPr>
              <w:pStyle w:val="TableParagraph"/>
              <w:spacing w:before="53"/>
              <w:ind w:right="918"/>
              <w:rPr>
                <w:sz w:val="16"/>
              </w:rPr>
            </w:pPr>
            <w:r>
              <w:rPr>
                <w:sz w:val="16"/>
              </w:rPr>
              <w:t>slouží bezprostředně k zajištění hlavního, přípustného a podmíněně přípustného využití dané plochy</w:t>
            </w:r>
          </w:p>
          <w:p>
            <w:pPr>
              <w:pStyle w:val="TableParagraph"/>
              <w:spacing w:before="57"/>
              <w:ind w:right="437"/>
              <w:rPr>
                <w:sz w:val="16"/>
              </w:rPr>
            </w:pPr>
            <w:r>
              <w:rPr>
                <w:sz w:val="16"/>
              </w:rPr>
              <w:t>charakterem a kapacitou odpovídají charakteru a výměře dané plochy</w:t>
            </w:r>
          </w:p>
          <w:p>
            <w:pPr>
              <w:pStyle w:val="TableParagraph"/>
              <w:spacing w:before="57"/>
              <w:ind w:right="437"/>
              <w:rPr>
                <w:sz w:val="16"/>
              </w:rPr>
            </w:pPr>
            <w:r>
              <w:rPr>
                <w:sz w:val="16"/>
              </w:rPr>
              <w:t>jsou technologicky přímo vázané na dané stanoviště a nelze je odůvodněně umístit v příslušných zastavitelných plochách</w:t>
            </w:r>
          </w:p>
          <w:p>
            <w:pPr>
              <w:pStyle w:val="TableParagraph"/>
              <w:spacing w:before="57"/>
              <w:rPr>
                <w:sz w:val="16"/>
              </w:rPr>
            </w:pPr>
            <w:r>
              <w:rPr>
                <w:sz w:val="16"/>
              </w:rPr>
              <w:t>budou splněny požadavky na celistvost a funkčnost dané plochy</w:t>
            </w:r>
          </w:p>
          <w:p>
            <w:pPr>
              <w:pStyle w:val="TableParagraph"/>
              <w:spacing w:before="58"/>
              <w:ind w:right="562"/>
              <w:rPr>
                <w:sz w:val="16"/>
              </w:rPr>
            </w:pPr>
            <w:r>
              <w:rPr>
                <w:sz w:val="16"/>
              </w:rPr>
              <w:t>nebude narušen krajinný ráz, protierozní ochrana a odtokové poměry a prostupnost krajiny</w:t>
            </w:r>
          </w:p>
          <w:p>
            <w:pPr>
              <w:pStyle w:val="TableParagraph"/>
              <w:spacing w:before="57"/>
              <w:rPr>
                <w:sz w:val="16"/>
              </w:rPr>
            </w:pPr>
            <w:r>
              <w:rPr>
                <w:sz w:val="16"/>
              </w:rPr>
              <w:t>nebude narušena ekologická funkce krajiny</w:t>
            </w:r>
          </w:p>
        </w:tc>
      </w:tr>
      <w:tr>
        <w:trPr>
          <w:trHeight w:val="297" w:hRule="atLeast"/>
        </w:trPr>
        <w:tc>
          <w:tcPr>
            <w:tcW w:w="4603" w:type="dxa"/>
            <w:shd w:val="clear" w:color="auto" w:fill="CCFFFF"/>
          </w:tcPr>
          <w:p>
            <w:pPr>
              <w:pStyle w:val="TableParagraph"/>
              <w:spacing w:line="171" w:lineRule="exact" w:before="106"/>
              <w:rPr>
                <w:b/>
                <w:sz w:val="16"/>
              </w:rPr>
            </w:pPr>
            <w:r>
              <w:rPr>
                <w:b/>
                <w:sz w:val="16"/>
              </w:rPr>
              <w:t>NEPŘÍPUSTNÉ VYUŽITÍ</w:t>
            </w:r>
          </w:p>
        </w:tc>
        <w:tc>
          <w:tcPr>
            <w:tcW w:w="5035" w:type="dxa"/>
            <w:shd w:val="clear" w:color="auto" w:fill="CCFFFF"/>
          </w:tcPr>
          <w:p>
            <w:pPr>
              <w:pStyle w:val="TableParagraph"/>
              <w:ind w:left="0"/>
              <w:rPr>
                <w:rFonts w:ascii="Times New Roman"/>
                <w:sz w:val="16"/>
              </w:rPr>
            </w:pPr>
          </w:p>
        </w:tc>
      </w:tr>
      <w:tr>
        <w:trPr>
          <w:trHeight w:val="1372" w:hRule="atLeast"/>
        </w:trPr>
        <w:tc>
          <w:tcPr>
            <w:tcW w:w="4603" w:type="dxa"/>
          </w:tcPr>
          <w:p>
            <w:pPr>
              <w:pStyle w:val="TableParagraph"/>
              <w:spacing w:before="106"/>
              <w:rPr>
                <w:b/>
                <w:sz w:val="16"/>
              </w:rPr>
            </w:pPr>
            <w:r>
              <w:rPr>
                <w:b/>
                <w:sz w:val="16"/>
              </w:rPr>
              <w:t>zejména využití, u kterého existuje riziko, že:</w:t>
            </w:r>
          </w:p>
          <w:p>
            <w:pPr>
              <w:pStyle w:val="TableParagraph"/>
              <w:spacing w:line="388" w:lineRule="auto" w:before="116"/>
              <w:ind w:right="1331"/>
              <w:rPr>
                <w:sz w:val="16"/>
              </w:rPr>
            </w:pPr>
            <w:r>
              <w:rPr>
                <w:sz w:val="16"/>
              </w:rPr>
              <w:t>naruší kvalitu prostředí plochy přírodní naruší celistvost a funkčnost plochy přírodní</w:t>
            </w:r>
          </w:p>
          <w:p>
            <w:pPr>
              <w:pStyle w:val="TableParagraph"/>
              <w:spacing w:line="182" w:lineRule="exact" w:before="4"/>
              <w:ind w:right="530"/>
              <w:rPr>
                <w:sz w:val="16"/>
              </w:rPr>
            </w:pPr>
            <w:r>
              <w:rPr>
                <w:sz w:val="16"/>
              </w:rPr>
              <w:t>naruší zajištění podmínek ochrany přírody a ekologické stability území</w:t>
            </w:r>
          </w:p>
        </w:tc>
        <w:tc>
          <w:tcPr>
            <w:tcW w:w="5035" w:type="dxa"/>
          </w:tcPr>
          <w:p>
            <w:pPr>
              <w:pStyle w:val="TableParagraph"/>
              <w:ind w:left="0"/>
              <w:rPr>
                <w:rFonts w:ascii="Times New Roman"/>
                <w:sz w:val="16"/>
              </w:rPr>
            </w:pPr>
          </w:p>
        </w:tc>
      </w:tr>
    </w:tbl>
    <w:p>
      <w:pPr>
        <w:spacing w:after="0"/>
        <w:rPr>
          <w:rFonts w:ascii="Times New Roman"/>
          <w:sz w:val="16"/>
        </w:rPr>
        <w:sectPr>
          <w:pgSz w:w="11900" w:h="16840"/>
          <w:pgMar w:header="561" w:footer="582" w:top="760" w:bottom="780" w:left="960" w:right="980"/>
        </w:sectPr>
      </w:pPr>
    </w:p>
    <w:p>
      <w:pPr>
        <w:pStyle w:val="BodyText"/>
        <w:ind w:left="0" w:firstLine="0"/>
        <w:jc w:val="left"/>
        <w:rPr>
          <w:b/>
          <w:sz w:val="20"/>
        </w:rPr>
      </w:pPr>
    </w:p>
    <w:p>
      <w:pPr>
        <w:pStyle w:val="BodyText"/>
        <w:spacing w:before="7"/>
        <w:ind w:left="0" w:firstLine="0"/>
        <w:jc w:val="left"/>
        <w:rPr>
          <w:b/>
          <w:sz w:val="11"/>
        </w:r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03"/>
        <w:gridCol w:w="5035"/>
      </w:tblGrid>
      <w:tr>
        <w:trPr>
          <w:trHeight w:val="311" w:hRule="atLeast"/>
        </w:trPr>
        <w:tc>
          <w:tcPr>
            <w:tcW w:w="4603" w:type="dxa"/>
            <w:shd w:val="clear" w:color="auto" w:fill="32CCCC"/>
          </w:tcPr>
          <w:p>
            <w:pPr>
              <w:pStyle w:val="TableParagraph"/>
              <w:spacing w:line="237" w:lineRule="exact" w:before="55"/>
              <w:rPr>
                <w:b/>
                <w:sz w:val="22"/>
              </w:rPr>
            </w:pPr>
            <w:r>
              <w:rPr>
                <w:b/>
                <w:sz w:val="22"/>
              </w:rPr>
              <w:t>PLOCHY SÍDELNÍ ZELENĚ</w:t>
            </w:r>
          </w:p>
        </w:tc>
        <w:tc>
          <w:tcPr>
            <w:tcW w:w="5035" w:type="dxa"/>
            <w:shd w:val="clear" w:color="auto" w:fill="32CCCC"/>
          </w:tcPr>
          <w:p>
            <w:pPr>
              <w:pStyle w:val="TableParagraph"/>
              <w:spacing w:line="237" w:lineRule="exact" w:before="55"/>
              <w:rPr>
                <w:b/>
                <w:sz w:val="22"/>
              </w:rPr>
            </w:pPr>
            <w:r>
              <w:rPr>
                <w:b/>
                <w:w w:val="100"/>
                <w:sz w:val="22"/>
              </w:rPr>
              <w:t>Z</w:t>
            </w:r>
          </w:p>
        </w:tc>
      </w:tr>
      <w:tr>
        <w:trPr>
          <w:trHeight w:val="239" w:hRule="atLeast"/>
        </w:trPr>
        <w:tc>
          <w:tcPr>
            <w:tcW w:w="4603" w:type="dxa"/>
            <w:shd w:val="clear" w:color="auto" w:fill="CCFFFF"/>
          </w:tcPr>
          <w:p>
            <w:pPr>
              <w:pStyle w:val="TableParagraph"/>
              <w:spacing w:line="166" w:lineRule="exact" w:before="53"/>
              <w:rPr>
                <w:sz w:val="16"/>
              </w:rPr>
            </w:pPr>
            <w:r>
              <w:rPr>
                <w:sz w:val="16"/>
              </w:rPr>
              <w:t>pozemky pro stavby, zařízení, úpravy, kultury, činnosti</w:t>
            </w:r>
          </w:p>
        </w:tc>
        <w:tc>
          <w:tcPr>
            <w:tcW w:w="5035" w:type="dxa"/>
            <w:shd w:val="clear" w:color="auto" w:fill="CCFFFF"/>
          </w:tcPr>
          <w:p>
            <w:pPr>
              <w:pStyle w:val="TableParagraph"/>
              <w:ind w:left="0"/>
              <w:rPr>
                <w:rFonts w:ascii="Times New Roman"/>
                <w:sz w:val="16"/>
              </w:rPr>
            </w:pPr>
          </w:p>
        </w:tc>
      </w:tr>
      <w:tr>
        <w:trPr>
          <w:trHeight w:val="241" w:hRule="atLeast"/>
        </w:trPr>
        <w:tc>
          <w:tcPr>
            <w:tcW w:w="4603" w:type="dxa"/>
            <w:shd w:val="clear" w:color="auto" w:fill="CCFFFF"/>
          </w:tcPr>
          <w:p>
            <w:pPr>
              <w:pStyle w:val="TableParagraph"/>
              <w:spacing w:line="168" w:lineRule="exact" w:before="53"/>
              <w:rPr>
                <w:b/>
                <w:sz w:val="16"/>
              </w:rPr>
            </w:pPr>
            <w:r>
              <w:rPr>
                <w:b/>
                <w:sz w:val="16"/>
              </w:rPr>
              <w:t>HLAVNÍ VYUŽITÍ</w:t>
            </w:r>
          </w:p>
        </w:tc>
        <w:tc>
          <w:tcPr>
            <w:tcW w:w="5035" w:type="dxa"/>
            <w:shd w:val="clear" w:color="auto" w:fill="CCFFFF"/>
          </w:tcPr>
          <w:p>
            <w:pPr>
              <w:pStyle w:val="TableParagraph"/>
              <w:ind w:left="0"/>
              <w:rPr>
                <w:rFonts w:ascii="Times New Roman"/>
                <w:sz w:val="16"/>
              </w:rPr>
            </w:pPr>
          </w:p>
        </w:tc>
      </w:tr>
      <w:tr>
        <w:trPr>
          <w:trHeight w:val="424" w:hRule="atLeast"/>
        </w:trPr>
        <w:tc>
          <w:tcPr>
            <w:tcW w:w="4603" w:type="dxa"/>
          </w:tcPr>
          <w:p>
            <w:pPr>
              <w:pStyle w:val="TableParagraph"/>
              <w:spacing w:line="180" w:lineRule="atLeast" w:before="51"/>
              <w:ind w:left="155" w:right="167"/>
              <w:rPr>
                <w:sz w:val="16"/>
              </w:rPr>
            </w:pPr>
            <w:r>
              <w:rPr>
                <w:b/>
                <w:sz w:val="16"/>
              </w:rPr>
              <w:t>extenzivně upravená veřejně přístupná pobytová zeleň </w:t>
            </w:r>
            <w:r>
              <w:rPr>
                <w:sz w:val="16"/>
              </w:rPr>
              <w:t>- zejména parky a lesoparky, pobytové louky</w:t>
            </w:r>
          </w:p>
        </w:tc>
        <w:tc>
          <w:tcPr>
            <w:tcW w:w="5035" w:type="dxa"/>
          </w:tcPr>
          <w:p>
            <w:pPr>
              <w:pStyle w:val="TableParagraph"/>
              <w:ind w:left="0"/>
              <w:rPr>
                <w:rFonts w:ascii="Times New Roman"/>
                <w:sz w:val="16"/>
              </w:rPr>
            </w:pPr>
          </w:p>
        </w:tc>
      </w:tr>
      <w:tr>
        <w:trPr>
          <w:trHeight w:val="241" w:hRule="atLeast"/>
        </w:trPr>
        <w:tc>
          <w:tcPr>
            <w:tcW w:w="4603" w:type="dxa"/>
            <w:shd w:val="clear" w:color="auto" w:fill="CCFFFF"/>
          </w:tcPr>
          <w:p>
            <w:pPr>
              <w:pStyle w:val="TableParagraph"/>
              <w:spacing w:line="171" w:lineRule="exact" w:before="51"/>
              <w:rPr>
                <w:b/>
                <w:sz w:val="16"/>
              </w:rPr>
            </w:pPr>
            <w:r>
              <w:rPr>
                <w:b/>
                <w:sz w:val="16"/>
              </w:rPr>
              <w:t>PŘÍPUSTNÉ VYUŽITÍ</w:t>
            </w:r>
          </w:p>
        </w:tc>
        <w:tc>
          <w:tcPr>
            <w:tcW w:w="5035" w:type="dxa"/>
            <w:shd w:val="clear" w:color="auto" w:fill="CCFFFF"/>
          </w:tcPr>
          <w:p>
            <w:pPr>
              <w:pStyle w:val="TableParagraph"/>
              <w:ind w:left="0"/>
              <w:rPr>
                <w:rFonts w:ascii="Times New Roman"/>
                <w:sz w:val="16"/>
              </w:rPr>
            </w:pPr>
          </w:p>
        </w:tc>
      </w:tr>
      <w:tr>
        <w:trPr>
          <w:trHeight w:val="1216" w:hRule="atLeast"/>
        </w:trPr>
        <w:tc>
          <w:tcPr>
            <w:tcW w:w="4603" w:type="dxa"/>
          </w:tcPr>
          <w:p>
            <w:pPr>
              <w:pStyle w:val="TableParagraph"/>
              <w:spacing w:before="51"/>
              <w:ind w:left="155" w:right="68"/>
              <w:rPr>
                <w:sz w:val="16"/>
              </w:rPr>
            </w:pPr>
            <w:r>
              <w:rPr>
                <w:b/>
                <w:sz w:val="16"/>
              </w:rPr>
              <w:t>hospodářská i rekreační zeleň tvořící nedílnou součást celoměstského systému </w:t>
            </w:r>
            <w:r>
              <w:rPr>
                <w:sz w:val="16"/>
              </w:rPr>
              <w:t>- zejména remízky, louky a pastviny, golfová hřiště,…se zajištěnou veřejnou prostupností</w:t>
            </w:r>
          </w:p>
          <w:p>
            <w:pPr>
              <w:pStyle w:val="TableParagraph"/>
              <w:spacing w:before="58"/>
              <w:ind w:left="155" w:right="602"/>
              <w:rPr>
                <w:sz w:val="16"/>
              </w:rPr>
            </w:pPr>
            <w:r>
              <w:rPr>
                <w:b/>
                <w:sz w:val="16"/>
              </w:rPr>
              <w:t>doprovodná zeleň tvořící nedílnou součást celoměstského systému </w:t>
            </w:r>
            <w:r>
              <w:rPr>
                <w:sz w:val="16"/>
              </w:rPr>
              <w:t>- zejména podél vodotečí a</w:t>
            </w:r>
          </w:p>
          <w:p>
            <w:pPr>
              <w:pStyle w:val="TableParagraph"/>
              <w:spacing w:line="166" w:lineRule="exact" w:before="1"/>
              <w:ind w:left="155"/>
              <w:rPr>
                <w:sz w:val="16"/>
              </w:rPr>
            </w:pPr>
            <w:r>
              <w:rPr>
                <w:sz w:val="16"/>
              </w:rPr>
              <w:t>komunikací, umožňující dopravní připojení přiléhajících ploch</w:t>
            </w:r>
          </w:p>
        </w:tc>
        <w:tc>
          <w:tcPr>
            <w:tcW w:w="5035" w:type="dxa"/>
          </w:tcPr>
          <w:p>
            <w:pPr>
              <w:pStyle w:val="TableParagraph"/>
              <w:ind w:left="0"/>
              <w:rPr>
                <w:rFonts w:ascii="Times New Roman"/>
                <w:sz w:val="16"/>
              </w:rPr>
            </w:pPr>
          </w:p>
        </w:tc>
      </w:tr>
      <w:tr>
        <w:trPr>
          <w:trHeight w:val="1389" w:hRule="atLeast"/>
        </w:trPr>
        <w:tc>
          <w:tcPr>
            <w:tcW w:w="4603" w:type="dxa"/>
            <w:vMerge w:val="restart"/>
            <w:shd w:val="clear" w:color="auto" w:fill="CCFFFF"/>
          </w:tcPr>
          <w:p>
            <w:pPr>
              <w:pStyle w:val="TableParagraph"/>
              <w:spacing w:before="53"/>
              <w:rPr>
                <w:b/>
                <w:sz w:val="16"/>
              </w:rPr>
            </w:pPr>
            <w:r>
              <w:rPr>
                <w:b/>
                <w:sz w:val="16"/>
              </w:rPr>
              <w:t>PODMÍNĚNĚ PŘÍPUSTNÉ VYUŽITÍ</w:t>
            </w:r>
          </w:p>
        </w:tc>
        <w:tc>
          <w:tcPr>
            <w:tcW w:w="5035" w:type="dxa"/>
            <w:shd w:val="clear" w:color="auto" w:fill="CCFFFF"/>
          </w:tcPr>
          <w:p>
            <w:pPr>
              <w:pStyle w:val="TableParagraph"/>
              <w:spacing w:before="53"/>
              <w:ind w:right="260"/>
              <w:rPr>
                <w:sz w:val="16"/>
              </w:rPr>
            </w:pPr>
            <w:r>
              <w:rPr>
                <w:b/>
                <w:sz w:val="16"/>
              </w:rPr>
              <w:t>obecné podmínky: </w:t>
            </w:r>
            <w:r>
              <w:rPr>
                <w:sz w:val="16"/>
              </w:rPr>
              <w:t>prokázat přiměřenost jeho dopadů ve vztahu k hlavnímu a přípustnému využití z hlediska:</w:t>
            </w:r>
          </w:p>
          <w:p>
            <w:pPr>
              <w:pStyle w:val="TableParagraph"/>
              <w:spacing w:before="60"/>
              <w:rPr>
                <w:sz w:val="16"/>
              </w:rPr>
            </w:pPr>
            <w:r>
              <w:rPr>
                <w:sz w:val="16"/>
              </w:rPr>
              <w:t>významu v širším území</w:t>
            </w:r>
          </w:p>
          <w:p>
            <w:pPr>
              <w:pStyle w:val="TableParagraph"/>
              <w:spacing w:line="312" w:lineRule="auto" w:before="56"/>
              <w:ind w:right="1496"/>
              <w:rPr>
                <w:sz w:val="16"/>
              </w:rPr>
            </w:pPr>
            <w:r>
              <w:rPr>
                <w:sz w:val="16"/>
              </w:rPr>
              <w:t>narušení kvality prostředí resp. pohody bydlení charakteru a kapacity napojení na infrastrukturu</w:t>
            </w:r>
          </w:p>
          <w:p>
            <w:pPr>
              <w:pStyle w:val="TableParagraph"/>
              <w:spacing w:line="166" w:lineRule="exact" w:before="4"/>
              <w:rPr>
                <w:sz w:val="16"/>
              </w:rPr>
            </w:pPr>
            <w:r>
              <w:rPr>
                <w:sz w:val="16"/>
              </w:rPr>
              <w:t>vyvolaných omezení ve smyslu hygienických a dalších předpisů</w:t>
            </w:r>
          </w:p>
        </w:tc>
      </w:tr>
      <w:tr>
        <w:trPr>
          <w:trHeight w:val="241" w:hRule="atLeast"/>
        </w:trPr>
        <w:tc>
          <w:tcPr>
            <w:tcW w:w="4603" w:type="dxa"/>
            <w:vMerge/>
            <w:tcBorders>
              <w:top w:val="nil"/>
            </w:tcBorders>
            <w:shd w:val="clear" w:color="auto" w:fill="CCFFFF"/>
          </w:tcPr>
          <w:p>
            <w:pPr>
              <w:rPr>
                <w:sz w:val="2"/>
                <w:szCs w:val="2"/>
              </w:rPr>
            </w:pPr>
          </w:p>
        </w:tc>
        <w:tc>
          <w:tcPr>
            <w:tcW w:w="5035" w:type="dxa"/>
            <w:shd w:val="clear" w:color="auto" w:fill="CCFFFF"/>
          </w:tcPr>
          <w:p>
            <w:pPr>
              <w:pStyle w:val="TableParagraph"/>
              <w:spacing w:line="171" w:lineRule="exact" w:before="51"/>
              <w:rPr>
                <w:b/>
                <w:sz w:val="16"/>
              </w:rPr>
            </w:pPr>
            <w:r>
              <w:rPr>
                <w:b/>
                <w:sz w:val="16"/>
              </w:rPr>
              <w:t>specifické podmínky:</w:t>
            </w:r>
          </w:p>
        </w:tc>
      </w:tr>
      <w:tr>
        <w:trPr>
          <w:trHeight w:val="2421" w:hRule="atLeast"/>
        </w:trPr>
        <w:tc>
          <w:tcPr>
            <w:tcW w:w="4603" w:type="dxa"/>
          </w:tcPr>
          <w:p>
            <w:pPr>
              <w:pStyle w:val="TableParagraph"/>
              <w:spacing w:before="53"/>
              <w:ind w:right="317"/>
              <w:rPr>
                <w:sz w:val="16"/>
              </w:rPr>
            </w:pPr>
            <w:r>
              <w:rPr>
                <w:b/>
                <w:sz w:val="16"/>
              </w:rPr>
              <w:t>intenzivně upravená rekreační zeleň </w:t>
            </w:r>
            <w:r>
              <w:rPr>
                <w:sz w:val="16"/>
              </w:rPr>
              <w:t>- zejména přírodní hřiště, lyžařské a cyklistické sjezdové svahy, běžecké a jezdecké a jiné nemotoristické areály, tábořiště, koupaliště</w:t>
            </w:r>
          </w:p>
          <w:p>
            <w:pPr>
              <w:pStyle w:val="TableParagraph"/>
              <w:spacing w:line="244" w:lineRule="auto" w:before="60"/>
              <w:ind w:right="41"/>
              <w:rPr>
                <w:sz w:val="16"/>
              </w:rPr>
            </w:pPr>
            <w:r>
              <w:rPr>
                <w:b/>
                <w:sz w:val="16"/>
              </w:rPr>
              <w:t>zajištění rekreačního využití zeleně </w:t>
            </w:r>
            <w:r>
              <w:rPr>
                <w:sz w:val="16"/>
              </w:rPr>
              <w:t>- zejména pódia, lanové dráhy a vleky, osvětlení, zasněžování</w:t>
            </w:r>
          </w:p>
          <w:p>
            <w:pPr>
              <w:pStyle w:val="TableParagraph"/>
              <w:spacing w:before="52"/>
              <w:rPr>
                <w:sz w:val="16"/>
              </w:rPr>
            </w:pPr>
            <w:r>
              <w:rPr>
                <w:b/>
                <w:sz w:val="16"/>
              </w:rPr>
              <w:t>přístřešky </w:t>
            </w:r>
            <w:r>
              <w:rPr>
                <w:sz w:val="16"/>
              </w:rPr>
              <w:t>- pro obsluhu, občerstvení a hygienu</w:t>
            </w:r>
          </w:p>
          <w:p>
            <w:pPr>
              <w:pStyle w:val="TableParagraph"/>
              <w:spacing w:before="61"/>
              <w:rPr>
                <w:b/>
                <w:sz w:val="16"/>
              </w:rPr>
            </w:pPr>
            <w:r>
              <w:rPr>
                <w:b/>
                <w:sz w:val="16"/>
              </w:rPr>
              <w:t>parkování OA a autobusů</w:t>
            </w:r>
          </w:p>
          <w:p>
            <w:pPr>
              <w:pStyle w:val="TableParagraph"/>
              <w:spacing w:before="61"/>
              <w:ind w:right="362"/>
              <w:rPr>
                <w:sz w:val="16"/>
              </w:rPr>
            </w:pPr>
            <w:r>
              <w:rPr>
                <w:b/>
                <w:sz w:val="16"/>
              </w:rPr>
              <w:t>cvičiště pro účely zvláštních zájmů </w:t>
            </w:r>
            <w:r>
              <w:rPr>
                <w:sz w:val="16"/>
              </w:rPr>
              <w:t>- zejména obranu a bezpečnost státu, civilní ochranu</w:t>
            </w:r>
          </w:p>
        </w:tc>
        <w:tc>
          <w:tcPr>
            <w:tcW w:w="5035" w:type="dxa"/>
          </w:tcPr>
          <w:p>
            <w:pPr>
              <w:pStyle w:val="TableParagraph"/>
              <w:spacing w:before="53"/>
              <w:ind w:right="918"/>
              <w:rPr>
                <w:sz w:val="16"/>
              </w:rPr>
            </w:pPr>
            <w:r>
              <w:rPr>
                <w:sz w:val="16"/>
              </w:rPr>
              <w:t>slouží bezprostředně k zajištění hlavního, přípustného a podmíněně přípustného využití dané plochy</w:t>
            </w:r>
          </w:p>
          <w:p>
            <w:pPr>
              <w:pStyle w:val="TableParagraph"/>
              <w:spacing w:before="57"/>
              <w:ind w:right="437"/>
              <w:rPr>
                <w:sz w:val="16"/>
              </w:rPr>
            </w:pPr>
            <w:r>
              <w:rPr>
                <w:sz w:val="16"/>
              </w:rPr>
              <w:t>charakterem a kapacitou odpovídají charakteru a výměře dané plochy</w:t>
            </w:r>
          </w:p>
          <w:p>
            <w:pPr>
              <w:pStyle w:val="TableParagraph"/>
              <w:spacing w:before="112"/>
              <w:ind w:right="437"/>
              <w:rPr>
                <w:sz w:val="16"/>
              </w:rPr>
            </w:pPr>
            <w:r>
              <w:rPr>
                <w:sz w:val="16"/>
              </w:rPr>
              <w:t>jsou technologicky přímo vázané na dané stanoviště a nelze je odůvodněně umístit v příslušných zastavitelných plochách</w:t>
            </w:r>
          </w:p>
          <w:p>
            <w:pPr>
              <w:pStyle w:val="TableParagraph"/>
              <w:spacing w:before="60"/>
              <w:rPr>
                <w:sz w:val="16"/>
              </w:rPr>
            </w:pPr>
            <w:r>
              <w:rPr>
                <w:sz w:val="16"/>
              </w:rPr>
              <w:t>budou splněny požadavky na celistvost a funkčnost dané plochy</w:t>
            </w:r>
          </w:p>
          <w:p>
            <w:pPr>
              <w:pStyle w:val="TableParagraph"/>
              <w:spacing w:before="56"/>
              <w:ind w:right="562"/>
              <w:rPr>
                <w:sz w:val="16"/>
              </w:rPr>
            </w:pPr>
            <w:r>
              <w:rPr>
                <w:sz w:val="16"/>
              </w:rPr>
              <w:t>nebude narušen krajinný ráz, protierozní ochrana a odtokové poměry a prostupnost krajiny</w:t>
            </w:r>
          </w:p>
          <w:p>
            <w:pPr>
              <w:pStyle w:val="TableParagraph"/>
              <w:spacing w:line="182" w:lineRule="exact" w:before="61"/>
              <w:ind w:right="295"/>
              <w:rPr>
                <w:sz w:val="16"/>
              </w:rPr>
            </w:pPr>
            <w:r>
              <w:rPr>
                <w:sz w:val="16"/>
              </w:rPr>
              <w:t>na území CHKO JH a Přírodního parku Ještěd nebude narušena ekologická funkce krajiny</w:t>
            </w:r>
          </w:p>
        </w:tc>
      </w:tr>
      <w:tr>
        <w:trPr>
          <w:trHeight w:val="594" w:hRule="atLeast"/>
        </w:trPr>
        <w:tc>
          <w:tcPr>
            <w:tcW w:w="4603" w:type="dxa"/>
          </w:tcPr>
          <w:p>
            <w:pPr>
              <w:pStyle w:val="TableParagraph"/>
              <w:spacing w:before="106"/>
              <w:rPr>
                <w:b/>
                <w:sz w:val="16"/>
              </w:rPr>
            </w:pPr>
            <w:r>
              <w:rPr>
                <w:b/>
                <w:sz w:val="16"/>
              </w:rPr>
              <w:t>liniové stavby technické infrastruktury nadřazených systémů</w:t>
            </w:r>
          </w:p>
        </w:tc>
        <w:tc>
          <w:tcPr>
            <w:tcW w:w="5035" w:type="dxa"/>
          </w:tcPr>
          <w:p>
            <w:pPr>
              <w:pStyle w:val="TableParagraph"/>
              <w:spacing w:line="298" w:lineRule="exact" w:before="20"/>
              <w:ind w:right="1959"/>
              <w:rPr>
                <w:sz w:val="16"/>
              </w:rPr>
            </w:pPr>
            <w:r>
              <w:rPr>
                <w:sz w:val="16"/>
              </w:rPr>
              <w:t>souvisí bezprostředně s provozem města nenaruší krajinný ráz</w:t>
            </w:r>
          </w:p>
        </w:tc>
      </w:tr>
      <w:tr>
        <w:trPr>
          <w:trHeight w:val="868" w:hRule="atLeast"/>
        </w:trPr>
        <w:tc>
          <w:tcPr>
            <w:tcW w:w="4603" w:type="dxa"/>
          </w:tcPr>
          <w:p>
            <w:pPr>
              <w:pStyle w:val="TableParagraph"/>
              <w:spacing w:before="85"/>
              <w:ind w:right="576"/>
              <w:rPr>
                <w:b/>
                <w:sz w:val="16"/>
              </w:rPr>
            </w:pPr>
            <w:r>
              <w:rPr>
                <w:b/>
                <w:sz w:val="16"/>
              </w:rPr>
              <w:t>plošně nenáročná zařízení technické infrastruktury nadřazených systémů</w:t>
            </w:r>
          </w:p>
        </w:tc>
        <w:tc>
          <w:tcPr>
            <w:tcW w:w="5035" w:type="dxa"/>
          </w:tcPr>
          <w:p>
            <w:pPr>
              <w:pStyle w:val="TableParagraph"/>
              <w:spacing w:before="87"/>
              <w:rPr>
                <w:sz w:val="16"/>
              </w:rPr>
            </w:pPr>
            <w:r>
              <w:rPr>
                <w:sz w:val="16"/>
              </w:rPr>
              <w:t>plocha nepřesáhne 300 m</w:t>
            </w:r>
            <w:r>
              <w:rPr>
                <w:sz w:val="16"/>
                <w:vertAlign w:val="superscript"/>
              </w:rPr>
              <w:t>2</w:t>
            </w:r>
          </w:p>
          <w:p>
            <w:pPr>
              <w:pStyle w:val="TableParagraph"/>
              <w:spacing w:line="290" w:lineRule="atLeast" w:before="8"/>
              <w:ind w:right="1959"/>
              <w:rPr>
                <w:sz w:val="16"/>
              </w:rPr>
            </w:pPr>
            <w:r>
              <w:rPr>
                <w:sz w:val="16"/>
              </w:rPr>
              <w:t>souvisí bezprostředně s provozem města nenaruší krajinný ráz</w:t>
            </w:r>
          </w:p>
        </w:tc>
      </w:tr>
      <w:tr>
        <w:trPr>
          <w:trHeight w:val="3402" w:hRule="atLeast"/>
        </w:trPr>
        <w:tc>
          <w:tcPr>
            <w:tcW w:w="4603" w:type="dxa"/>
          </w:tcPr>
          <w:p>
            <w:pPr>
              <w:pStyle w:val="TableParagraph"/>
              <w:spacing w:before="53"/>
              <w:rPr>
                <w:b/>
                <w:sz w:val="16"/>
              </w:rPr>
            </w:pPr>
            <w:r>
              <w:rPr>
                <w:b/>
                <w:sz w:val="16"/>
              </w:rPr>
              <w:t>základní vybavenost území</w:t>
            </w:r>
          </w:p>
          <w:p>
            <w:pPr>
              <w:pStyle w:val="TableParagraph"/>
              <w:spacing w:before="61"/>
              <w:ind w:right="246"/>
              <w:rPr>
                <w:sz w:val="16"/>
              </w:rPr>
            </w:pPr>
            <w:r>
              <w:rPr>
                <w:sz w:val="16"/>
              </w:rPr>
              <w:t>terénní úpravy kromě těžebních prací a skládek odpadů, opěrné zdi, propustky a přemostění, oplocenky a ohradníky</w:t>
            </w:r>
          </w:p>
          <w:p>
            <w:pPr>
              <w:pStyle w:val="TableParagraph"/>
              <w:spacing w:before="57"/>
              <w:ind w:right="118" w:hanging="1"/>
              <w:rPr>
                <w:sz w:val="16"/>
              </w:rPr>
            </w:pPr>
            <w:r>
              <w:rPr>
                <w:sz w:val="16"/>
              </w:rPr>
              <w:t>vodní toky a vodní plochy do 2 000 m</w:t>
            </w:r>
            <w:r>
              <w:rPr>
                <w:sz w:val="16"/>
                <w:vertAlign w:val="superscript"/>
              </w:rPr>
              <w:t>2</w:t>
            </w:r>
            <w:r>
              <w:rPr>
                <w:sz w:val="16"/>
                <w:vertAlign w:val="baseline"/>
              </w:rPr>
              <w:t>, plošné a liniové prvky ochranné a doprovodné zeleně vč. biokoridorů ÚSES a IP</w:t>
            </w:r>
          </w:p>
          <w:p>
            <w:pPr>
              <w:pStyle w:val="TableParagraph"/>
              <w:spacing w:before="57"/>
              <w:ind w:right="264" w:hanging="1"/>
              <w:rPr>
                <w:sz w:val="16"/>
              </w:rPr>
            </w:pPr>
            <w:r>
              <w:rPr>
                <w:sz w:val="16"/>
              </w:rPr>
              <w:t>veřejná prostranství - místní komunikace zpřístupňující objekty a pozemky v ploše, komunikace, pobytové prostory s vyloučením motorové dopravy, zastávky VDO</w:t>
            </w:r>
          </w:p>
          <w:p>
            <w:pPr>
              <w:pStyle w:val="TableParagraph"/>
              <w:spacing w:before="58"/>
              <w:ind w:right="156"/>
              <w:rPr>
                <w:sz w:val="16"/>
              </w:rPr>
            </w:pPr>
            <w:r>
              <w:rPr>
                <w:sz w:val="16"/>
              </w:rPr>
              <w:t>technická Infrastruktura - liniové stavby a plošně nenáročná zařízení vodovodů, kanalizace, produktovodů, energetických zařízení vč. obnovitelných zdrojů, elektronických komunikací</w:t>
            </w:r>
          </w:p>
          <w:p>
            <w:pPr>
              <w:pStyle w:val="TableParagraph"/>
              <w:spacing w:before="57"/>
              <w:ind w:right="940"/>
              <w:rPr>
                <w:sz w:val="16"/>
              </w:rPr>
            </w:pPr>
            <w:r>
              <w:rPr>
                <w:sz w:val="16"/>
              </w:rPr>
              <w:t>rekreační využití krajiny – mobiliář, stavby drobné architektury do 10 m</w:t>
            </w:r>
            <w:r>
              <w:rPr>
                <w:sz w:val="16"/>
                <w:vertAlign w:val="superscript"/>
              </w:rPr>
              <w:t>2</w:t>
            </w:r>
            <w:r>
              <w:rPr>
                <w:sz w:val="16"/>
                <w:vertAlign w:val="baseline"/>
              </w:rPr>
              <w:t> bez pobytových místností</w:t>
            </w:r>
          </w:p>
          <w:p>
            <w:pPr>
              <w:pStyle w:val="TableParagraph"/>
              <w:spacing w:before="57"/>
              <w:ind w:right="335"/>
              <w:rPr>
                <w:sz w:val="16"/>
              </w:rPr>
            </w:pPr>
            <w:r>
              <w:rPr>
                <w:sz w:val="16"/>
              </w:rPr>
              <w:t>informační zařízení, která zlepšují podmínky využití území pro účely rekreace a cestovního ruchu</w:t>
            </w:r>
          </w:p>
          <w:p>
            <w:pPr>
              <w:pStyle w:val="TableParagraph"/>
              <w:spacing w:line="166" w:lineRule="exact" w:before="57"/>
              <w:rPr>
                <w:sz w:val="16"/>
              </w:rPr>
            </w:pPr>
            <w:r>
              <w:rPr>
                <w:sz w:val="16"/>
              </w:rPr>
              <w:t>ochrana před povodněmi, erozí, hlukem, exhalacemi</w:t>
            </w:r>
          </w:p>
        </w:tc>
        <w:tc>
          <w:tcPr>
            <w:tcW w:w="5035" w:type="dxa"/>
          </w:tcPr>
          <w:p>
            <w:pPr>
              <w:pStyle w:val="TableParagraph"/>
              <w:spacing w:before="53"/>
              <w:ind w:right="918"/>
              <w:rPr>
                <w:sz w:val="16"/>
              </w:rPr>
            </w:pPr>
            <w:r>
              <w:rPr>
                <w:sz w:val="16"/>
              </w:rPr>
              <w:t>slouží bezprostředně k zajištění hlavního, přípustného a podmíněně přípustného využití dané plochy</w:t>
            </w:r>
          </w:p>
          <w:p>
            <w:pPr>
              <w:pStyle w:val="TableParagraph"/>
              <w:spacing w:before="57"/>
              <w:ind w:right="437"/>
              <w:rPr>
                <w:sz w:val="16"/>
              </w:rPr>
            </w:pPr>
            <w:r>
              <w:rPr>
                <w:sz w:val="16"/>
              </w:rPr>
              <w:t>charakterem a kapacitou odpovídají charakteru a výměře dané plochy</w:t>
            </w:r>
          </w:p>
          <w:p>
            <w:pPr>
              <w:pStyle w:val="TableParagraph"/>
              <w:spacing w:before="59"/>
              <w:ind w:right="437"/>
              <w:rPr>
                <w:sz w:val="16"/>
              </w:rPr>
            </w:pPr>
            <w:r>
              <w:rPr>
                <w:sz w:val="16"/>
              </w:rPr>
              <w:t>jsou technologicky přímo vázané na dané stanoviště a nelze je odůvodněně umístit v příslušných zastavitelných plochách</w:t>
            </w:r>
          </w:p>
          <w:p>
            <w:pPr>
              <w:pStyle w:val="TableParagraph"/>
              <w:spacing w:before="57"/>
              <w:rPr>
                <w:sz w:val="16"/>
              </w:rPr>
            </w:pPr>
            <w:r>
              <w:rPr>
                <w:sz w:val="16"/>
              </w:rPr>
              <w:t>budou splněny požadavky na celistvost a funkčnost dané plochy</w:t>
            </w:r>
          </w:p>
          <w:p>
            <w:pPr>
              <w:pStyle w:val="TableParagraph"/>
              <w:spacing w:before="56"/>
              <w:ind w:right="562"/>
              <w:rPr>
                <w:sz w:val="16"/>
              </w:rPr>
            </w:pPr>
            <w:r>
              <w:rPr>
                <w:sz w:val="16"/>
              </w:rPr>
              <w:t>nebude narušen krajinný ráz, protierozní ochrana a odtokové poměry a prostupnost krajiny</w:t>
            </w:r>
          </w:p>
          <w:p>
            <w:pPr>
              <w:pStyle w:val="TableParagraph"/>
              <w:spacing w:before="57"/>
              <w:ind w:right="295"/>
              <w:rPr>
                <w:sz w:val="16"/>
              </w:rPr>
            </w:pPr>
            <w:r>
              <w:rPr>
                <w:sz w:val="16"/>
              </w:rPr>
              <w:t>na území CHKO JH a Přírodního parku Ještěd nebude narušena ekologická funkce krajiny</w:t>
            </w:r>
          </w:p>
        </w:tc>
      </w:tr>
      <w:tr>
        <w:trPr>
          <w:trHeight w:val="297" w:hRule="atLeast"/>
        </w:trPr>
        <w:tc>
          <w:tcPr>
            <w:tcW w:w="4603" w:type="dxa"/>
            <w:shd w:val="clear" w:color="auto" w:fill="CCFFFF"/>
          </w:tcPr>
          <w:p>
            <w:pPr>
              <w:pStyle w:val="TableParagraph"/>
              <w:spacing w:line="171" w:lineRule="exact" w:before="106"/>
              <w:rPr>
                <w:b/>
                <w:sz w:val="16"/>
              </w:rPr>
            </w:pPr>
            <w:r>
              <w:rPr>
                <w:b/>
                <w:sz w:val="16"/>
              </w:rPr>
              <w:t>NEPŘÍPUSTNÉ VYUŽITÍ</w:t>
            </w:r>
          </w:p>
        </w:tc>
        <w:tc>
          <w:tcPr>
            <w:tcW w:w="5035" w:type="dxa"/>
            <w:shd w:val="clear" w:color="auto" w:fill="CCFFFF"/>
          </w:tcPr>
          <w:p>
            <w:pPr>
              <w:pStyle w:val="TableParagraph"/>
              <w:ind w:left="0"/>
              <w:rPr>
                <w:rFonts w:ascii="Times New Roman"/>
                <w:sz w:val="16"/>
              </w:rPr>
            </w:pPr>
          </w:p>
        </w:tc>
      </w:tr>
      <w:tr>
        <w:trPr>
          <w:trHeight w:val="892" w:hRule="atLeast"/>
        </w:trPr>
        <w:tc>
          <w:tcPr>
            <w:tcW w:w="4603" w:type="dxa"/>
          </w:tcPr>
          <w:p>
            <w:pPr>
              <w:pStyle w:val="TableParagraph"/>
              <w:spacing w:before="106"/>
              <w:rPr>
                <w:b/>
                <w:sz w:val="16"/>
              </w:rPr>
            </w:pPr>
            <w:r>
              <w:rPr>
                <w:b/>
                <w:sz w:val="16"/>
              </w:rPr>
              <w:t>zejména využití, u kterého existuje riziko, že:</w:t>
            </w:r>
          </w:p>
          <w:p>
            <w:pPr>
              <w:pStyle w:val="TableParagraph"/>
              <w:spacing w:line="290" w:lineRule="atLeast" w:before="10"/>
              <w:ind w:right="895"/>
              <w:rPr>
                <w:sz w:val="16"/>
              </w:rPr>
            </w:pPr>
            <w:r>
              <w:rPr>
                <w:sz w:val="16"/>
              </w:rPr>
              <w:t>naruší kvalitu prostředí plochy sídelní zeleně naruší celistvost a funkčnost plochy sídelní zeleně</w:t>
            </w:r>
          </w:p>
        </w:tc>
        <w:tc>
          <w:tcPr>
            <w:tcW w:w="5035" w:type="dxa"/>
          </w:tcPr>
          <w:p>
            <w:pPr>
              <w:pStyle w:val="TableParagraph"/>
              <w:ind w:left="0"/>
              <w:rPr>
                <w:rFonts w:ascii="Times New Roman"/>
                <w:sz w:val="16"/>
              </w:rPr>
            </w:pPr>
          </w:p>
        </w:tc>
      </w:tr>
    </w:tbl>
    <w:p>
      <w:pPr>
        <w:spacing w:after="0"/>
        <w:rPr>
          <w:rFonts w:ascii="Times New Roman"/>
          <w:sz w:val="16"/>
        </w:rPr>
        <w:sectPr>
          <w:pgSz w:w="11900" w:h="16840"/>
          <w:pgMar w:header="561" w:footer="582" w:top="760" w:bottom="780" w:left="960" w:right="980"/>
        </w:sectPr>
      </w:pPr>
    </w:p>
    <w:p>
      <w:pPr>
        <w:pStyle w:val="BodyText"/>
        <w:ind w:left="0" w:firstLine="0"/>
        <w:jc w:val="left"/>
        <w:rPr>
          <w:b/>
          <w:sz w:val="20"/>
        </w:rPr>
      </w:pPr>
    </w:p>
    <w:p>
      <w:pPr>
        <w:pStyle w:val="BodyText"/>
        <w:spacing w:before="7"/>
        <w:ind w:left="0" w:firstLine="0"/>
        <w:jc w:val="left"/>
        <w:rPr>
          <w:b/>
          <w:sz w:val="11"/>
        </w:rPr>
      </w:pPr>
    </w:p>
    <w:p>
      <w:pPr>
        <w:pStyle w:val="BodyText"/>
        <w:ind w:left="144" w:firstLine="0"/>
        <w:jc w:val="left"/>
        <w:rPr>
          <w:sz w:val="20"/>
        </w:rPr>
      </w:pPr>
      <w:r>
        <w:rPr>
          <w:sz w:val="20"/>
        </w:rPr>
        <w:pict>
          <v:shape style="width:484.7pt;height:15pt;mso-position-horizontal-relative:char;mso-position-vertical-relative:line" type="#_x0000_t202" filled="true" fillcolor="#ccffff" stroked="false">
            <w10:anchorlock/>
            <v:textbox inset="0,0,0,0">
              <w:txbxContent>
                <w:p>
                  <w:pPr>
                    <w:tabs>
                      <w:tab w:pos="880" w:val="left" w:leader="none"/>
                    </w:tabs>
                    <w:spacing w:line="295" w:lineRule="exact" w:before="0"/>
                    <w:ind w:left="28" w:right="0" w:firstLine="0"/>
                    <w:jc w:val="left"/>
                    <w:rPr>
                      <w:b/>
                      <w:sz w:val="26"/>
                    </w:rPr>
                  </w:pPr>
                  <w:r>
                    <w:rPr>
                      <w:b/>
                      <w:sz w:val="26"/>
                    </w:rPr>
                    <w:t>F.3</w:t>
                    <w:tab/>
                    <w:t>OMEZENÍ VYUŽÍVÁNÍ PLOCH S ROZDÍLNÝM ZPŮSOBEM</w:t>
                  </w:r>
                  <w:r>
                    <w:rPr>
                      <w:b/>
                      <w:spacing w:val="-6"/>
                      <w:sz w:val="26"/>
                    </w:rPr>
                    <w:t> </w:t>
                  </w:r>
                  <w:r>
                    <w:rPr>
                      <w:b/>
                      <w:sz w:val="26"/>
                    </w:rPr>
                    <w:t>VYUŽITÍ</w:t>
                  </w:r>
                </w:p>
              </w:txbxContent>
            </v:textbox>
            <v:fill type="solid"/>
          </v:shape>
        </w:pict>
      </w:r>
      <w:r>
        <w:rPr>
          <w:sz w:val="20"/>
        </w:rPr>
      </w:r>
    </w:p>
    <w:p>
      <w:pPr>
        <w:pStyle w:val="ListParagraph"/>
        <w:numPr>
          <w:ilvl w:val="2"/>
          <w:numId w:val="12"/>
        </w:numPr>
        <w:tabs>
          <w:tab w:pos="1024" w:val="left" w:leader="none"/>
          <w:tab w:pos="1025" w:val="left" w:leader="none"/>
        </w:tabs>
        <w:spacing w:line="240" w:lineRule="auto" w:before="161" w:after="0"/>
        <w:ind w:left="1024" w:right="0" w:hanging="853"/>
        <w:jc w:val="left"/>
        <w:rPr>
          <w:b/>
          <w:sz w:val="26"/>
        </w:rPr>
      </w:pPr>
      <w:r>
        <w:rPr>
          <w:b/>
          <w:sz w:val="26"/>
        </w:rPr>
        <w:t>LIMITY VYUŽITÍ</w:t>
      </w:r>
      <w:r>
        <w:rPr>
          <w:b/>
          <w:spacing w:val="-3"/>
          <w:sz w:val="26"/>
        </w:rPr>
        <w:t> </w:t>
      </w:r>
      <w:r>
        <w:rPr>
          <w:b/>
          <w:sz w:val="26"/>
        </w:rPr>
        <w:t>ÚZEMÍ</w:t>
      </w:r>
    </w:p>
    <w:p>
      <w:pPr>
        <w:pStyle w:val="ListParagraph"/>
        <w:numPr>
          <w:ilvl w:val="0"/>
          <w:numId w:val="1"/>
        </w:numPr>
        <w:tabs>
          <w:tab w:pos="1024" w:val="left" w:leader="none"/>
          <w:tab w:pos="1025" w:val="left" w:leader="none"/>
        </w:tabs>
        <w:spacing w:line="240" w:lineRule="auto" w:before="122" w:after="0"/>
        <w:ind w:left="1024" w:right="147" w:hanging="853"/>
        <w:jc w:val="both"/>
        <w:rPr>
          <w:sz w:val="22"/>
        </w:rPr>
      </w:pPr>
      <w:r>
        <w:rPr>
          <w:sz w:val="22"/>
        </w:rPr>
        <w:t>Respektovat omezení využití stabilizovaných i rozvojových ploch vyplývající ze </w:t>
      </w:r>
      <w:r>
        <w:rPr>
          <w:b/>
          <w:sz w:val="22"/>
        </w:rPr>
        <w:t>stávajících limitů </w:t>
      </w:r>
      <w:r>
        <w:rPr>
          <w:sz w:val="22"/>
        </w:rPr>
        <w:t>využití území, daných příslušnými právními předpisy (PrP) a správními rozhodnutími</w:t>
      </w:r>
      <w:r>
        <w:rPr>
          <w:spacing w:val="-1"/>
          <w:sz w:val="22"/>
        </w:rPr>
        <w:t> </w:t>
      </w:r>
      <w:r>
        <w:rPr>
          <w:sz w:val="22"/>
        </w:rPr>
        <w:t>(SR),</w:t>
      </w:r>
    </w:p>
    <w:p>
      <w:pPr>
        <w:pStyle w:val="BodyText"/>
        <w:tabs>
          <w:tab w:pos="1024" w:val="left" w:leader="none"/>
        </w:tabs>
        <w:spacing w:before="60"/>
        <w:ind w:right="145"/>
      </w:pPr>
      <w:r>
        <w:rPr>
          <w:rFonts w:ascii="Times New Roman" w:hAnsi="Times New Roman"/>
        </w:rPr>
        <w:t>-</w:t>
        <w:tab/>
      </w:r>
      <w:r>
        <w:rPr/>
        <w:t>výčet stávajících limitů a jejich střet s rozvojovými plochami je uveden v textové části odůvodnění ÚP a zákres proveden v Koordinačním výkresu (5), pokud to podrobnost dokumentace</w:t>
      </w:r>
      <w:r>
        <w:rPr>
          <w:spacing w:val="-1"/>
        </w:rPr>
        <w:t> </w:t>
      </w:r>
      <w:r>
        <w:rPr/>
        <w:t>umožňuje.</w:t>
      </w:r>
    </w:p>
    <w:p>
      <w:pPr>
        <w:pStyle w:val="ListParagraph"/>
        <w:numPr>
          <w:ilvl w:val="0"/>
          <w:numId w:val="1"/>
        </w:numPr>
        <w:tabs>
          <w:tab w:pos="1024" w:val="left" w:leader="none"/>
          <w:tab w:pos="1025" w:val="left" w:leader="none"/>
        </w:tabs>
        <w:spacing w:line="240" w:lineRule="auto" w:before="118" w:after="0"/>
        <w:ind w:left="1024" w:right="144" w:hanging="853"/>
        <w:jc w:val="both"/>
        <w:rPr>
          <w:sz w:val="22"/>
        </w:rPr>
      </w:pPr>
      <w:r>
        <w:rPr>
          <w:sz w:val="22"/>
        </w:rPr>
        <w:t>Využití stabilizovaných i rozvojových ploch zasahujících do stávajících limitů řešit tak, aby při respektování podmínek příslušného limitu v budoucnu nevznikly nároky na </w:t>
      </w:r>
      <w:r>
        <w:rPr>
          <w:b/>
          <w:sz w:val="22"/>
        </w:rPr>
        <w:t>opatření proti nepříznivým účinkům </w:t>
      </w:r>
      <w:r>
        <w:rPr>
          <w:sz w:val="22"/>
        </w:rPr>
        <w:t>tohoto zásahu, pokud tyto nároky přece vzniknou, budou hrazeny majitelem příslušné</w:t>
      </w:r>
      <w:r>
        <w:rPr>
          <w:spacing w:val="-4"/>
          <w:sz w:val="22"/>
        </w:rPr>
        <w:t> </w:t>
      </w:r>
      <w:r>
        <w:rPr>
          <w:sz w:val="22"/>
        </w:rPr>
        <w:t>plochy.</w:t>
      </w:r>
    </w:p>
    <w:p>
      <w:pPr>
        <w:pStyle w:val="Heading2"/>
        <w:numPr>
          <w:ilvl w:val="2"/>
          <w:numId w:val="12"/>
        </w:numPr>
        <w:tabs>
          <w:tab w:pos="1024" w:val="left" w:leader="none"/>
          <w:tab w:pos="1025" w:val="left" w:leader="none"/>
        </w:tabs>
        <w:spacing w:line="240" w:lineRule="auto" w:before="180" w:after="0"/>
        <w:ind w:left="1024" w:right="0" w:hanging="853"/>
        <w:jc w:val="left"/>
      </w:pPr>
      <w:r>
        <w:rPr/>
        <w:t>OMEZENÍ VYUŽÍVÁNÍ PLOCH STANOVENÁ V</w:t>
      </w:r>
      <w:r>
        <w:rPr>
          <w:spacing w:val="-6"/>
        </w:rPr>
        <w:t> </w:t>
      </w:r>
      <w:r>
        <w:rPr/>
        <w:t>ÚP</w:t>
      </w:r>
    </w:p>
    <w:p>
      <w:pPr>
        <w:pStyle w:val="ListParagraph"/>
        <w:numPr>
          <w:ilvl w:val="0"/>
          <w:numId w:val="1"/>
        </w:numPr>
        <w:tabs>
          <w:tab w:pos="1024" w:val="left" w:leader="none"/>
          <w:tab w:pos="1025" w:val="left" w:leader="none"/>
        </w:tabs>
        <w:spacing w:line="240" w:lineRule="auto" w:before="120" w:after="0"/>
        <w:ind w:left="1024" w:right="145" w:hanging="853"/>
        <w:jc w:val="both"/>
        <w:rPr>
          <w:sz w:val="22"/>
        </w:rPr>
      </w:pPr>
      <w:r>
        <w:rPr>
          <w:sz w:val="22"/>
        </w:rPr>
        <w:t>Stanovuje se omezení využití stabilizovaných i rozvojových ploch vyplývající z uplatnění </w:t>
      </w:r>
      <w:r>
        <w:rPr>
          <w:b/>
          <w:sz w:val="22"/>
        </w:rPr>
        <w:t>limitů využití území </w:t>
      </w:r>
      <w:r>
        <w:rPr>
          <w:sz w:val="22"/>
        </w:rPr>
        <w:t>daných příslušnými právními předpisy a správními rozhodnutími při realizaci koncepce</w:t>
      </w:r>
      <w:r>
        <w:rPr>
          <w:spacing w:val="-1"/>
          <w:sz w:val="22"/>
        </w:rPr>
        <w:t> </w:t>
      </w:r>
      <w:r>
        <w:rPr>
          <w:sz w:val="22"/>
        </w:rPr>
        <w:t>ÚP,</w:t>
      </w:r>
    </w:p>
    <w:p>
      <w:pPr>
        <w:pStyle w:val="BodyText"/>
        <w:tabs>
          <w:tab w:pos="1024" w:val="left" w:leader="none"/>
        </w:tabs>
        <w:spacing w:before="62"/>
        <w:ind w:right="146"/>
      </w:pPr>
      <w:r>
        <w:rPr>
          <w:rFonts w:ascii="Times New Roman" w:hAnsi="Times New Roman"/>
        </w:rPr>
        <w:t>-</w:t>
        <w:tab/>
      </w:r>
      <w:r>
        <w:rPr/>
        <w:t>výčet navržených „limitů“ je uveden níže a zákres proveden v Hlavním výkresu (2) a Koordinačním výkresu (5), pokud to podrobnost dokumentace</w:t>
      </w:r>
      <w:r>
        <w:rPr>
          <w:spacing w:val="-7"/>
        </w:rPr>
        <w:t> </w:t>
      </w:r>
      <w:r>
        <w:rPr/>
        <w:t>umožňuje:</w:t>
      </w:r>
    </w:p>
    <w:p>
      <w:pPr>
        <w:pStyle w:val="BodyText"/>
        <w:spacing w:line="251" w:lineRule="exact"/>
        <w:ind w:firstLine="0"/>
      </w:pPr>
      <w:r>
        <w:rPr>
          <w:rFonts w:ascii="Times New Roman" w:hAnsi="Times New Roman"/>
        </w:rPr>
        <w:t>- </w:t>
      </w:r>
      <w:r>
        <w:rPr/>
        <w:t>ÚSES - biocentra a biokoridory místního územního systému ekologické stability (ÚP</w:t>
      </w:r>
    </w:p>
    <w:p>
      <w:pPr>
        <w:pStyle w:val="BodyText"/>
        <w:spacing w:line="252" w:lineRule="exact"/>
        <w:ind w:left="1591" w:firstLine="0"/>
      </w:pPr>
      <w:r>
        <w:rPr/>
        <w:t>- kapitola „E.2 Územní systém ekologické stability“),</w:t>
      </w:r>
    </w:p>
    <w:p>
      <w:pPr>
        <w:pStyle w:val="BodyText"/>
        <w:ind w:left="1591" w:right="148" w:hanging="567"/>
      </w:pPr>
      <w:r>
        <w:rPr>
          <w:rFonts w:ascii="Times New Roman" w:hAnsi="Times New Roman"/>
        </w:rPr>
        <w:t>-   </w:t>
      </w:r>
      <w:r>
        <w:rPr/>
        <w:t>návrh registrace šesti prvků vzrostlé nelesní zeleně - lípy malolisté v kategorii VKP   (ÚP - kapitola „E.1 Ochrana hodnot krajiny, krajinný</w:t>
      </w:r>
      <w:r>
        <w:rPr>
          <w:spacing w:val="-15"/>
        </w:rPr>
        <w:t> </w:t>
      </w:r>
      <w:r>
        <w:rPr/>
        <w:t>ráz“),</w:t>
      </w:r>
    </w:p>
    <w:p>
      <w:pPr>
        <w:pStyle w:val="BodyText"/>
        <w:spacing w:line="252" w:lineRule="exact"/>
        <w:ind w:firstLine="0"/>
      </w:pPr>
      <w:r>
        <w:rPr>
          <w:rFonts w:ascii="Times New Roman" w:hAnsi="Times New Roman"/>
        </w:rPr>
        <w:t>- </w:t>
      </w:r>
      <w:r>
        <w:rPr/>
        <w:t>OP navržených ploch PUPFL (PrP),</w:t>
      </w:r>
    </w:p>
    <w:p>
      <w:pPr>
        <w:pStyle w:val="BodyText"/>
        <w:tabs>
          <w:tab w:pos="1591" w:val="left" w:leader="none"/>
        </w:tabs>
        <w:spacing w:line="253" w:lineRule="exact"/>
        <w:ind w:firstLine="0"/>
        <w:jc w:val="left"/>
      </w:pPr>
      <w:r>
        <w:rPr>
          <w:rFonts w:ascii="Times New Roman" w:hAnsi="Times New Roman"/>
        </w:rPr>
        <w:t>-</w:t>
        <w:tab/>
      </w:r>
      <w:r>
        <w:rPr/>
        <w:t>OP navržených úseků elektrického VN/VVN vzdušného vedení a trafostanic</w:t>
      </w:r>
      <w:r>
        <w:rPr>
          <w:spacing w:val="-21"/>
        </w:rPr>
        <w:t> </w:t>
      </w:r>
      <w:r>
        <w:rPr/>
        <w:t>(PrP),</w:t>
      </w:r>
    </w:p>
    <w:p>
      <w:pPr>
        <w:pStyle w:val="BodyText"/>
        <w:tabs>
          <w:tab w:pos="1591" w:val="left" w:leader="none"/>
        </w:tabs>
        <w:ind w:left="1591" w:right="147" w:hanging="567"/>
        <w:jc w:val="left"/>
      </w:pPr>
      <w:r>
        <w:rPr>
          <w:rFonts w:ascii="Times New Roman" w:hAnsi="Times New Roman"/>
        </w:rPr>
        <w:t>-</w:t>
        <w:tab/>
      </w:r>
      <w:r>
        <w:rPr/>
        <w:t>OP navržených úseků elektrického VN/VVN kabelového vedení a trafostanic (PrP, nezakresleno),</w:t>
      </w:r>
    </w:p>
    <w:p>
      <w:pPr>
        <w:pStyle w:val="BodyText"/>
        <w:tabs>
          <w:tab w:pos="1591" w:val="left" w:leader="none"/>
        </w:tabs>
        <w:ind w:left="1591" w:right="147" w:hanging="567"/>
        <w:jc w:val="left"/>
      </w:pPr>
      <w:r>
        <w:rPr>
          <w:rFonts w:ascii="Times New Roman" w:hAnsi="Times New Roman"/>
        </w:rPr>
        <w:t>-</w:t>
        <w:tab/>
      </w:r>
      <w:r>
        <w:rPr/>
        <w:t>OP a bezpečnostní pásma navržených úseků STL/VTL plynovodních řadů a objektů (PrP),</w:t>
      </w:r>
    </w:p>
    <w:p>
      <w:pPr>
        <w:pStyle w:val="BodyText"/>
        <w:spacing w:line="251" w:lineRule="exact"/>
        <w:ind w:firstLine="0"/>
      </w:pPr>
      <w:r>
        <w:rPr>
          <w:rFonts w:ascii="Times New Roman" w:hAnsi="Times New Roman"/>
        </w:rPr>
        <w:t>- </w:t>
      </w:r>
      <w:r>
        <w:rPr/>
        <w:t>OP navržených úseků vodovodních řadů a objektů (PrP, nezakresleno),</w:t>
      </w:r>
    </w:p>
    <w:p>
      <w:pPr>
        <w:pStyle w:val="BodyText"/>
        <w:ind w:firstLine="0"/>
      </w:pPr>
      <w:r>
        <w:rPr>
          <w:rFonts w:ascii="Times New Roman" w:hAnsi="Times New Roman"/>
        </w:rPr>
        <w:t>- </w:t>
      </w:r>
      <w:r>
        <w:rPr/>
        <w:t>OP navržených úseků kanalizačních řadů a objektů (PrP, nezakresleno),</w:t>
      </w:r>
    </w:p>
    <w:p>
      <w:pPr>
        <w:pStyle w:val="BodyText"/>
        <w:tabs>
          <w:tab w:pos="1024" w:val="left" w:leader="none"/>
        </w:tabs>
        <w:spacing w:before="58"/>
        <w:ind w:right="145"/>
      </w:pPr>
      <w:r>
        <w:rPr>
          <w:rFonts w:ascii="Times New Roman" w:hAnsi="Times New Roman"/>
        </w:rPr>
        <w:t>-</w:t>
        <w:tab/>
      </w:r>
      <w:r>
        <w:rPr/>
        <w:t>využití stabilizovaných i rozvojových ploch dotčených navrženými „limity“ řešit tak, aby při respektování podmínek příslušného limitu v budoucnu nevznikly nároky na </w:t>
      </w:r>
      <w:r>
        <w:rPr>
          <w:b/>
        </w:rPr>
        <w:t>opatření proti nepříznivým účinkům </w:t>
      </w:r>
      <w:r>
        <w:rPr/>
        <w:t>tohoto zásahu, pokud tyto nároky přece vzniknou, budou hrazeny subjektem, v jehož prospěch byl limit</w:t>
      </w:r>
      <w:r>
        <w:rPr>
          <w:spacing w:val="-4"/>
        </w:rPr>
        <w:t> </w:t>
      </w:r>
      <w:r>
        <w:rPr/>
        <w:t>stanoven.</w:t>
      </w:r>
    </w:p>
    <w:p>
      <w:pPr>
        <w:pStyle w:val="Heading3"/>
        <w:spacing w:before="118"/>
      </w:pPr>
      <w:r>
        <w:rPr/>
        <w:t>HYGIENICKÉ A BEZPEČNOSTNÍ VLIVY</w:t>
      </w:r>
    </w:p>
    <w:p>
      <w:pPr>
        <w:pStyle w:val="ListParagraph"/>
        <w:numPr>
          <w:ilvl w:val="0"/>
          <w:numId w:val="1"/>
        </w:numPr>
        <w:tabs>
          <w:tab w:pos="1024" w:val="left" w:leader="none"/>
          <w:tab w:pos="1025" w:val="left" w:leader="none"/>
        </w:tabs>
        <w:spacing w:line="240" w:lineRule="auto" w:before="80" w:after="0"/>
        <w:ind w:left="1024" w:right="146" w:hanging="852"/>
        <w:jc w:val="both"/>
        <w:rPr>
          <w:sz w:val="22"/>
        </w:rPr>
      </w:pPr>
      <w:r>
        <w:rPr>
          <w:sz w:val="22"/>
        </w:rPr>
        <w:t>Stanovuje se omezení využívání částí stabilizovaných i rozvojových ploch bezprostředně navazujících na plochy železničních  tratí a  pozemních komunikací ohrožených </w:t>
      </w:r>
      <w:r>
        <w:rPr>
          <w:b/>
          <w:sz w:val="22"/>
        </w:rPr>
        <w:t>hlukem  z dopravy</w:t>
      </w:r>
      <w:r>
        <w:rPr>
          <w:sz w:val="22"/>
        </w:rPr>
        <w:t>, viz kapitola „D.1.7 Negativní účinky hluku z</w:t>
      </w:r>
      <w:r>
        <w:rPr>
          <w:spacing w:val="-14"/>
          <w:sz w:val="22"/>
        </w:rPr>
        <w:t> </w:t>
      </w:r>
      <w:r>
        <w:rPr>
          <w:sz w:val="22"/>
        </w:rPr>
        <w:t>dopravy“.</w:t>
      </w:r>
    </w:p>
    <w:p>
      <w:pPr>
        <w:pStyle w:val="ListParagraph"/>
        <w:numPr>
          <w:ilvl w:val="0"/>
          <w:numId w:val="1"/>
        </w:numPr>
        <w:tabs>
          <w:tab w:pos="1024" w:val="left" w:leader="none"/>
          <w:tab w:pos="1025" w:val="left" w:leader="none"/>
        </w:tabs>
        <w:spacing w:line="240" w:lineRule="auto" w:before="81" w:after="0"/>
        <w:ind w:left="1024" w:right="146" w:hanging="852"/>
        <w:jc w:val="both"/>
        <w:rPr>
          <w:sz w:val="22"/>
        </w:rPr>
      </w:pPr>
      <w:r>
        <w:rPr>
          <w:sz w:val="22"/>
        </w:rPr>
        <w:t>Stanovuje se omezení využívání částí stabilizovaných i rozvojových ploch bezprostředně navazujících na plochy pro výrobu a kapacitní obchod ohrožených </w:t>
      </w:r>
      <w:r>
        <w:rPr>
          <w:b/>
          <w:sz w:val="22"/>
        </w:rPr>
        <w:t>hlukem z jejich provozu</w:t>
      </w:r>
      <w:r>
        <w:rPr>
          <w:sz w:val="22"/>
        </w:rPr>
        <w:t>.</w:t>
      </w:r>
    </w:p>
    <w:p>
      <w:pPr>
        <w:pStyle w:val="ListParagraph"/>
        <w:numPr>
          <w:ilvl w:val="0"/>
          <w:numId w:val="1"/>
        </w:numPr>
        <w:tabs>
          <w:tab w:pos="1024" w:val="left" w:leader="none"/>
          <w:tab w:pos="1025" w:val="left" w:leader="none"/>
        </w:tabs>
        <w:spacing w:line="240" w:lineRule="auto" w:before="79" w:after="0"/>
        <w:ind w:left="1024" w:right="146" w:hanging="853"/>
        <w:jc w:val="both"/>
        <w:rPr>
          <w:sz w:val="22"/>
        </w:rPr>
      </w:pPr>
      <w:r>
        <w:rPr>
          <w:sz w:val="22"/>
        </w:rPr>
        <w:t>Při umisťování staveb na plochách potenciálně ohrožených hlukem z přilehlých ploch pro výrobu a kapacitní obchod (do vzdálenosti 100 m od hranice plochy) upřesňovat možné ohrožení nadměrnými účinky hluku na základě  podmínek  pro  využití ploch  uvedených  v tabulkách kapitoly „C.2 Návrh zastavitelných ploch, ploch přestavby a nezastavitelných ploch“ návrhu</w:t>
      </w:r>
      <w:r>
        <w:rPr>
          <w:spacing w:val="1"/>
          <w:sz w:val="22"/>
        </w:rPr>
        <w:t> </w:t>
      </w:r>
      <w:r>
        <w:rPr>
          <w:sz w:val="22"/>
        </w:rPr>
        <w:t>ÚP:</w:t>
      </w:r>
    </w:p>
    <w:p>
      <w:pPr>
        <w:pStyle w:val="BodyText"/>
        <w:tabs>
          <w:tab w:pos="1024" w:val="left" w:leader="none"/>
        </w:tabs>
        <w:spacing w:before="2"/>
        <w:ind w:right="146"/>
      </w:pPr>
      <w:r>
        <w:rPr>
          <w:rFonts w:ascii="Times New Roman" w:hAnsi="Times New Roman"/>
        </w:rPr>
        <w:t>-</w:t>
        <w:tab/>
      </w:r>
      <w:r>
        <w:rPr/>
        <w:t>„H1 - při umisťování staveb prokázat měřením dodržování hygienických limitů hluku ze stabilizovaných ploch pro dopravu, výrobu a kapacitní obchod v budoucích chráněných venkovních prostorech</w:t>
      </w:r>
      <w:r>
        <w:rPr>
          <w:spacing w:val="-1"/>
        </w:rPr>
        <w:t> </w:t>
      </w:r>
      <w:r>
        <w:rPr/>
        <w:t>staveb“,</w:t>
      </w:r>
    </w:p>
    <w:p>
      <w:pPr>
        <w:pStyle w:val="BodyText"/>
        <w:tabs>
          <w:tab w:pos="1024" w:val="left" w:leader="none"/>
        </w:tabs>
        <w:ind w:right="146"/>
      </w:pPr>
      <w:r>
        <w:rPr>
          <w:rFonts w:ascii="Times New Roman" w:hAnsi="Times New Roman"/>
        </w:rPr>
        <w:t>-</w:t>
        <w:tab/>
      </w:r>
      <w:r>
        <w:rPr/>
        <w:t>„H2 - při umisťování staveb prokázat dodržování hygienických limitů hluku z rozvojových ploch pro dopravu, výrobu a kapacitní obchod v budoucích chráněných venkovních prostorech</w:t>
      </w:r>
      <w:r>
        <w:rPr>
          <w:spacing w:val="-3"/>
        </w:rPr>
        <w:t> </w:t>
      </w:r>
      <w:r>
        <w:rPr/>
        <w:t>staveb“.</w:t>
      </w:r>
    </w:p>
    <w:p>
      <w:pPr>
        <w:spacing w:after="0"/>
        <w:sectPr>
          <w:pgSz w:w="11900" w:h="16840"/>
          <w:pgMar w:header="561" w:footer="582" w:top="760" w:bottom="780" w:left="960" w:right="980"/>
        </w:sectPr>
      </w:pPr>
    </w:p>
    <w:p>
      <w:pPr>
        <w:pStyle w:val="BodyText"/>
        <w:spacing w:before="7"/>
        <w:ind w:left="0" w:firstLine="0"/>
        <w:jc w:val="left"/>
      </w:pPr>
    </w:p>
    <w:p>
      <w:pPr>
        <w:pStyle w:val="ListParagraph"/>
        <w:numPr>
          <w:ilvl w:val="0"/>
          <w:numId w:val="1"/>
        </w:numPr>
        <w:tabs>
          <w:tab w:pos="1024" w:val="left" w:leader="none"/>
          <w:tab w:pos="1025" w:val="left" w:leader="none"/>
        </w:tabs>
        <w:spacing w:line="240" w:lineRule="auto" w:before="101" w:after="0"/>
        <w:ind w:left="1024" w:right="146" w:hanging="852"/>
        <w:jc w:val="both"/>
        <w:rPr>
          <w:sz w:val="22"/>
        </w:rPr>
      </w:pPr>
      <w:r>
        <w:rPr>
          <w:sz w:val="22"/>
        </w:rPr>
        <w:t>Zjištěnému překračování hlukových limitů a šíření dalších nepříznivých hygienických účinků z </w:t>
      </w:r>
      <w:r>
        <w:rPr>
          <w:b/>
          <w:sz w:val="22"/>
        </w:rPr>
        <w:t>ploch výroby a skladování (E )nově umisťovaných </w:t>
      </w:r>
      <w:r>
        <w:rPr>
          <w:sz w:val="22"/>
        </w:rPr>
        <w:t>do stávající zástavby bránit:</w:t>
      </w:r>
    </w:p>
    <w:p>
      <w:pPr>
        <w:pStyle w:val="BodyText"/>
        <w:tabs>
          <w:tab w:pos="1024" w:val="left" w:leader="none"/>
        </w:tabs>
        <w:spacing w:before="2"/>
        <w:ind w:right="145" w:hanging="852"/>
      </w:pPr>
      <w:r>
        <w:rPr>
          <w:rFonts w:ascii="Times New Roman" w:hAnsi="Times New Roman"/>
        </w:rPr>
        <w:t>-</w:t>
        <w:tab/>
      </w:r>
      <w:r>
        <w:rPr/>
        <w:t>urbanistickými opatřeními při umisťování staveb - územní studie, DÚR,..., která znamenají zónování areálů, zřizování účinných pásů ochranné zeleně na vlastní ploše výroby a skladování,</w:t>
      </w:r>
    </w:p>
    <w:p>
      <w:pPr>
        <w:pStyle w:val="BodyText"/>
        <w:tabs>
          <w:tab w:pos="1024" w:val="left" w:leader="none"/>
        </w:tabs>
        <w:spacing w:line="251" w:lineRule="exact"/>
        <w:ind w:left="172" w:firstLine="0"/>
      </w:pPr>
      <w:r>
        <w:rPr>
          <w:rFonts w:ascii="Times New Roman" w:hAnsi="Times New Roman"/>
        </w:rPr>
        <w:t>-</w:t>
        <w:tab/>
      </w:r>
      <w:r>
        <w:rPr/>
        <w:t>architektonickými opatřeními - dispoziční řešení výrobních</w:t>
      </w:r>
      <w:r>
        <w:rPr>
          <w:spacing w:val="-8"/>
        </w:rPr>
        <w:t> </w:t>
      </w:r>
      <w:r>
        <w:rPr/>
        <w:t>provozů,</w:t>
      </w:r>
    </w:p>
    <w:p>
      <w:pPr>
        <w:pStyle w:val="BodyText"/>
        <w:tabs>
          <w:tab w:pos="1024" w:val="left" w:leader="none"/>
        </w:tabs>
        <w:ind w:right="147" w:hanging="852"/>
        <w:jc w:val="left"/>
      </w:pPr>
      <w:r>
        <w:rPr>
          <w:rFonts w:ascii="Times New Roman" w:hAnsi="Times New Roman"/>
        </w:rPr>
        <w:t>-</w:t>
        <w:tab/>
      </w:r>
      <w:r>
        <w:rPr/>
        <w:t>technickými opatřeními na výrobních objektech - speciální okna, omítky, clony, kvalitní povrchy komunikací, protihlukové</w:t>
      </w:r>
      <w:r>
        <w:rPr>
          <w:spacing w:val="-1"/>
        </w:rPr>
        <w:t> </w:t>
      </w:r>
      <w:r>
        <w:rPr/>
        <w:t>zábrany,</w:t>
      </w:r>
    </w:p>
    <w:p>
      <w:pPr>
        <w:pStyle w:val="BodyText"/>
        <w:tabs>
          <w:tab w:pos="1024" w:val="left" w:leader="none"/>
        </w:tabs>
        <w:spacing w:before="18"/>
        <w:ind w:left="172" w:firstLine="0"/>
        <w:jc w:val="left"/>
      </w:pPr>
      <w:r>
        <w:rPr>
          <w:rFonts w:ascii="Times New Roman" w:hAnsi="Times New Roman"/>
        </w:rPr>
        <w:t>-</w:t>
        <w:tab/>
      </w:r>
      <w:r>
        <w:rPr/>
        <w:t>přitom upřednostňovat tvorbu městského</w:t>
      </w:r>
      <w:r>
        <w:rPr>
          <w:spacing w:val="-26"/>
        </w:rPr>
        <w:t> </w:t>
      </w:r>
      <w:r>
        <w:rPr/>
        <w:t>prostoru,</w:t>
      </w:r>
    </w:p>
    <w:p>
      <w:pPr>
        <w:pStyle w:val="BodyText"/>
        <w:tabs>
          <w:tab w:pos="1024" w:val="left" w:leader="none"/>
        </w:tabs>
        <w:ind w:left="172" w:firstLine="0"/>
        <w:jc w:val="left"/>
      </w:pPr>
      <w:r>
        <w:rPr>
          <w:rFonts w:ascii="Times New Roman" w:hAnsi="Times New Roman"/>
        </w:rPr>
        <w:t>-</w:t>
        <w:tab/>
      </w:r>
      <w:r>
        <w:rPr/>
        <w:t>organizačními opatřeními - úpravy režimu</w:t>
      </w:r>
      <w:r>
        <w:rPr>
          <w:spacing w:val="-25"/>
        </w:rPr>
        <w:t> </w:t>
      </w:r>
      <w:r>
        <w:rPr/>
        <w:t>provozu.</w:t>
      </w:r>
    </w:p>
    <w:p>
      <w:pPr>
        <w:pStyle w:val="ListParagraph"/>
        <w:numPr>
          <w:ilvl w:val="0"/>
          <w:numId w:val="1"/>
        </w:numPr>
        <w:tabs>
          <w:tab w:pos="1024" w:val="left" w:leader="none"/>
          <w:tab w:pos="1025" w:val="left" w:leader="none"/>
        </w:tabs>
        <w:spacing w:line="240" w:lineRule="auto" w:before="77" w:after="0"/>
        <w:ind w:left="1024" w:right="146" w:hanging="852"/>
        <w:jc w:val="both"/>
        <w:rPr>
          <w:sz w:val="22"/>
        </w:rPr>
      </w:pPr>
      <w:r>
        <w:rPr>
          <w:sz w:val="22"/>
        </w:rPr>
        <w:t>Zjištěnému překračování hlukových limitů a šíření dalších nepříznivých hygienických účinků ze </w:t>
      </w:r>
      <w:r>
        <w:rPr>
          <w:b/>
          <w:sz w:val="22"/>
        </w:rPr>
        <w:t>stávajících ploch výroby a skladování (E) </w:t>
      </w:r>
      <w:r>
        <w:rPr>
          <w:sz w:val="22"/>
        </w:rPr>
        <w:t>obestavovaných navrženou obytnou zástavbou</w:t>
      </w:r>
      <w:r>
        <w:rPr>
          <w:spacing w:val="-1"/>
          <w:sz w:val="22"/>
        </w:rPr>
        <w:t> </w:t>
      </w:r>
      <w:r>
        <w:rPr>
          <w:sz w:val="22"/>
        </w:rPr>
        <w:t>bránit:</w:t>
      </w:r>
    </w:p>
    <w:p>
      <w:pPr>
        <w:pStyle w:val="BodyText"/>
        <w:tabs>
          <w:tab w:pos="1024" w:val="left" w:leader="none"/>
        </w:tabs>
        <w:spacing w:before="2"/>
        <w:ind w:right="143" w:hanging="852"/>
      </w:pPr>
      <w:r>
        <w:rPr>
          <w:rFonts w:ascii="Times New Roman" w:hAnsi="Times New Roman"/>
        </w:rPr>
        <w:t>-</w:t>
        <w:tab/>
      </w:r>
      <w:r>
        <w:rPr/>
        <w:t>respektováním dostatečně rozsáhlých samostatných ploch s rozdílným způsobem využití vymezených v ÚP, které zajistí ochranu chráněných prostorů před</w:t>
      </w:r>
      <w:r>
        <w:rPr>
          <w:spacing w:val="-18"/>
        </w:rPr>
        <w:t> </w:t>
      </w:r>
      <w:r>
        <w:rPr/>
        <w:t>hlukem,</w:t>
      </w:r>
    </w:p>
    <w:p>
      <w:pPr>
        <w:pStyle w:val="BodyText"/>
        <w:tabs>
          <w:tab w:pos="1024" w:val="left" w:leader="none"/>
        </w:tabs>
        <w:spacing w:before="48"/>
        <w:ind w:right="145"/>
      </w:pPr>
      <w:r>
        <w:rPr>
          <w:rFonts w:ascii="Times New Roman" w:hAnsi="Times New Roman"/>
        </w:rPr>
        <w:t>-</w:t>
        <w:tab/>
      </w:r>
      <w:r>
        <w:rPr/>
        <w:t>urbanistickými opatřeními při umisťování staveb - územní studie, DÚR,..., která znamenají funkční zónování ploch pro bydlení (B) s vymezením dílčích částí určených pro neobytné funkce - vybavení, ochrannou zeleň a umístění protihlukových</w:t>
      </w:r>
      <w:r>
        <w:rPr>
          <w:spacing w:val="-7"/>
        </w:rPr>
        <w:t> </w:t>
      </w:r>
      <w:r>
        <w:rPr/>
        <w:t>zábran,</w:t>
      </w:r>
    </w:p>
    <w:p>
      <w:pPr>
        <w:pStyle w:val="BodyText"/>
        <w:tabs>
          <w:tab w:pos="1024" w:val="left" w:leader="none"/>
        </w:tabs>
        <w:spacing w:before="46"/>
        <w:ind w:right="146" w:hanging="852"/>
      </w:pPr>
      <w:r>
        <w:rPr>
          <w:rFonts w:ascii="Times New Roman" w:hAnsi="Times New Roman"/>
        </w:rPr>
        <w:t>-</w:t>
        <w:tab/>
      </w:r>
      <w:r>
        <w:rPr/>
        <w:t>architektonickými opatřeními - orientací chráněných prostorů na stranu odvrácenou od zdrojů hluku.</w:t>
      </w:r>
    </w:p>
    <w:p>
      <w:pPr>
        <w:pStyle w:val="Heading3"/>
      </w:pPr>
      <w:r>
        <w:rPr/>
        <w:t>KORIDORY DOPRAVNÍ INFRASTRUKTURY</w:t>
      </w:r>
    </w:p>
    <w:p>
      <w:pPr>
        <w:pStyle w:val="ListParagraph"/>
        <w:numPr>
          <w:ilvl w:val="0"/>
          <w:numId w:val="1"/>
        </w:numPr>
        <w:tabs>
          <w:tab w:pos="1024" w:val="left" w:leader="none"/>
          <w:tab w:pos="1025" w:val="left" w:leader="none"/>
        </w:tabs>
        <w:spacing w:line="242" w:lineRule="auto" w:before="119" w:after="0"/>
        <w:ind w:left="1024" w:right="145" w:hanging="852"/>
        <w:jc w:val="both"/>
        <w:rPr>
          <w:sz w:val="22"/>
        </w:rPr>
      </w:pPr>
      <w:r>
        <w:rPr>
          <w:sz w:val="22"/>
        </w:rPr>
        <w:t>Stanovují se koridory </w:t>
      </w:r>
      <w:r>
        <w:rPr>
          <w:b/>
          <w:sz w:val="22"/>
        </w:rPr>
        <w:t>navržených železničních tratí, </w:t>
      </w:r>
      <w:r>
        <w:rPr>
          <w:sz w:val="22"/>
        </w:rPr>
        <w:t>které umožní v dalších fázích projektové přípravy upřesnit umístění železniční trati v rámci tohoto koridoru při dosažení požadovaných parametrů bez ohledu na stanovené využití koridorem dotčených</w:t>
      </w:r>
      <w:r>
        <w:rPr>
          <w:spacing w:val="-25"/>
          <w:sz w:val="22"/>
        </w:rPr>
        <w:t> </w:t>
      </w:r>
      <w:r>
        <w:rPr>
          <w:sz w:val="22"/>
        </w:rPr>
        <w:t>ploch,</w:t>
      </w:r>
    </w:p>
    <w:p>
      <w:pPr>
        <w:pStyle w:val="BodyText"/>
        <w:tabs>
          <w:tab w:pos="1024" w:val="left" w:leader="none"/>
        </w:tabs>
        <w:spacing w:before="55"/>
        <w:ind w:right="147" w:hanging="852"/>
      </w:pPr>
      <w:r>
        <w:rPr>
          <w:rFonts w:ascii="Times New Roman" w:hAnsi="Times New Roman"/>
        </w:rPr>
        <w:t>-</w:t>
        <w:tab/>
      </w:r>
      <w:r>
        <w:rPr/>
        <w:t>koridory jsou zakresleny v Hlavním výkresu (2), v místech, kde zakresleny nejsou, považuje se za ně vlastní vymezená plocha dopravní infrastruktury-drážní</w:t>
      </w:r>
      <w:r>
        <w:rPr>
          <w:spacing w:val="-17"/>
        </w:rPr>
        <w:t> </w:t>
      </w:r>
      <w:r>
        <w:rPr/>
        <w:t>(D),</w:t>
      </w:r>
    </w:p>
    <w:p>
      <w:pPr>
        <w:pStyle w:val="BodyText"/>
        <w:tabs>
          <w:tab w:pos="1024" w:val="left" w:leader="none"/>
        </w:tabs>
        <w:spacing w:before="59"/>
        <w:ind w:right="146" w:hanging="852"/>
      </w:pPr>
      <w:r>
        <w:rPr>
          <w:rFonts w:ascii="Times New Roman" w:hAnsi="Times New Roman"/>
        </w:rPr>
        <w:t>-</w:t>
        <w:tab/>
      </w:r>
      <w:r>
        <w:rPr/>
        <w:t>do vydání ÚR na umístění železniční trati mohou být stavby ve vymezeném koridoru umisťovány pouze ve zvláště odůvodněném veřejném zájmu - např. technická a dopravní infrastruktura,</w:t>
      </w:r>
    </w:p>
    <w:p>
      <w:pPr>
        <w:pStyle w:val="BodyText"/>
        <w:tabs>
          <w:tab w:pos="1024" w:val="left" w:leader="none"/>
        </w:tabs>
        <w:spacing w:before="59"/>
        <w:ind w:right="146"/>
      </w:pPr>
      <w:r>
        <w:rPr>
          <w:rFonts w:ascii="Times New Roman" w:hAnsi="Times New Roman"/>
        </w:rPr>
        <w:t>-</w:t>
        <w:tab/>
      </w:r>
      <w:r>
        <w:rPr/>
        <w:t>po upřesnění umístění železniční trati v platném ÚR budou mít zbývající plochy v koridoru mimo plochu železniční trati využití stanovené v ÚP resp. stejné využití jako plochy na ně navazující mimo vymezený</w:t>
      </w:r>
      <w:r>
        <w:rPr>
          <w:spacing w:val="-6"/>
        </w:rPr>
        <w:t> </w:t>
      </w:r>
      <w:r>
        <w:rPr/>
        <w:t>koridor,</w:t>
      </w:r>
    </w:p>
    <w:p>
      <w:pPr>
        <w:pStyle w:val="BodyText"/>
        <w:tabs>
          <w:tab w:pos="1024" w:val="left" w:leader="none"/>
        </w:tabs>
        <w:spacing w:before="61"/>
        <w:ind w:right="146" w:hanging="852"/>
      </w:pPr>
      <w:r>
        <w:rPr>
          <w:rFonts w:ascii="Times New Roman" w:hAnsi="Times New Roman"/>
        </w:rPr>
        <w:t>-</w:t>
        <w:tab/>
      </w:r>
      <w:r>
        <w:rPr/>
        <w:t>pokud je příslušná železniční trať zařazena mezi VPS, jsou do VPS zahrnuty veškeré pozemky resp. jejich části dotčené</w:t>
      </w:r>
      <w:r>
        <w:rPr>
          <w:spacing w:val="-7"/>
        </w:rPr>
        <w:t> </w:t>
      </w:r>
      <w:r>
        <w:rPr/>
        <w:t>koridorem.</w:t>
      </w:r>
    </w:p>
    <w:p>
      <w:pPr>
        <w:pStyle w:val="ListParagraph"/>
        <w:numPr>
          <w:ilvl w:val="0"/>
          <w:numId w:val="1"/>
        </w:numPr>
        <w:tabs>
          <w:tab w:pos="1024" w:val="left" w:leader="none"/>
          <w:tab w:pos="1025" w:val="left" w:leader="none"/>
        </w:tabs>
        <w:spacing w:line="240" w:lineRule="auto" w:before="114" w:after="0"/>
        <w:ind w:left="1024" w:right="145" w:hanging="852"/>
        <w:jc w:val="both"/>
        <w:rPr>
          <w:sz w:val="22"/>
        </w:rPr>
      </w:pPr>
      <w:r>
        <w:rPr>
          <w:sz w:val="22"/>
        </w:rPr>
        <w:t>Stanovuje se omezení využívání částí ploch bezprostředně navazujících na </w:t>
      </w:r>
      <w:r>
        <w:rPr>
          <w:b/>
          <w:sz w:val="22"/>
        </w:rPr>
        <w:t>navržené plochy pozemních komunikací </w:t>
      </w:r>
      <w:r>
        <w:rPr>
          <w:sz w:val="22"/>
        </w:rPr>
        <w:t>(ochranné koridory), v nichž je nutno v dalších fázích projektové přípravy prokázat potenciální vliv veškerých činností na možnost umístění těchto komunikací do území bezprostředně na ně navazujícího při dosažení parametrů stanovených charakteristikou typu příčného uspořádání vč. prostoru pro bezmotorovou dopravu, napojení křižovatek a sjezdů k navazujícím plochám zastávky VDO a doprovodnou</w:t>
      </w:r>
      <w:r>
        <w:rPr>
          <w:spacing w:val="-1"/>
          <w:sz w:val="22"/>
        </w:rPr>
        <w:t> </w:t>
      </w:r>
      <w:r>
        <w:rPr>
          <w:sz w:val="22"/>
        </w:rPr>
        <w:t>zeleň,</w:t>
      </w:r>
    </w:p>
    <w:p>
      <w:pPr>
        <w:pStyle w:val="BodyText"/>
        <w:tabs>
          <w:tab w:pos="1024" w:val="left" w:leader="none"/>
        </w:tabs>
        <w:spacing w:before="63"/>
        <w:ind w:right="146" w:hanging="852"/>
      </w:pPr>
      <w:r>
        <w:rPr>
          <w:rFonts w:ascii="Times New Roman" w:hAnsi="Times New Roman"/>
        </w:rPr>
        <w:t>-</w:t>
        <w:tab/>
      </w:r>
      <w:r>
        <w:rPr/>
        <w:t>hranice ochranných koridorů jsou zakresleny v Hlavním výkresu (2), do vydání ÚR na umístění komunikace mohou být stavby v takto vymezeném území umisťovány pouze tak, aby rozšíření příslušného dopravního prostoru mohlo být realizováno v celém takto vymezeném prostoru, a to při maximálním respektování stávající</w:t>
      </w:r>
      <w:r>
        <w:rPr>
          <w:spacing w:val="-10"/>
        </w:rPr>
        <w:t> </w:t>
      </w:r>
      <w:r>
        <w:rPr/>
        <w:t>zástavby.</w:t>
      </w:r>
    </w:p>
    <w:p>
      <w:pPr>
        <w:pStyle w:val="BodyText"/>
        <w:tabs>
          <w:tab w:pos="1024" w:val="left" w:leader="none"/>
        </w:tabs>
        <w:spacing w:before="60"/>
        <w:ind w:right="145" w:hanging="852"/>
      </w:pPr>
      <w:r>
        <w:rPr>
          <w:rFonts w:ascii="Times New Roman" w:hAnsi="Times New Roman"/>
        </w:rPr>
        <w:t>-</w:t>
        <w:tab/>
      </w:r>
      <w:r>
        <w:rPr/>
        <w:t>tato omezení jsou v rozvojových plochách upřesněna na základě podmínek pro využití ploch uvedených v tabulkách kapitoly „C.2 Návrh zastavitelných ploch, ploch přestavby a nezastavitelných ploch“ návrhu</w:t>
      </w:r>
      <w:r>
        <w:rPr>
          <w:spacing w:val="-2"/>
        </w:rPr>
        <w:t> </w:t>
      </w:r>
      <w:r>
        <w:rPr/>
        <w:t>ÚP:</w:t>
      </w:r>
    </w:p>
    <w:p>
      <w:pPr>
        <w:pStyle w:val="BodyText"/>
        <w:tabs>
          <w:tab w:pos="1024" w:val="left" w:leader="none"/>
        </w:tabs>
        <w:spacing w:before="56"/>
        <w:ind w:right="146"/>
      </w:pPr>
      <w:r>
        <w:rPr>
          <w:rFonts w:ascii="Times New Roman" w:hAnsi="Times New Roman"/>
        </w:rPr>
        <w:t>-</w:t>
        <w:tab/>
      </w:r>
      <w:r>
        <w:rPr>
          <w:b/>
        </w:rPr>
        <w:t>OK </w:t>
      </w:r>
      <w:r>
        <w:rPr/>
        <w:t>- v dalších stupních projektové přípravy vytvořit podmínky pro umístění přilehlých navržených komunikací vč. navržených úseků, bezmotorové dopravy a doprovodné zeleně</w:t>
      </w:r>
    </w:p>
    <w:p>
      <w:pPr>
        <w:spacing w:after="0"/>
        <w:sectPr>
          <w:pgSz w:w="11900" w:h="16840"/>
          <w:pgMar w:header="561" w:footer="582" w:top="760" w:bottom="780" w:left="960" w:right="980"/>
        </w:sectPr>
      </w:pPr>
    </w:p>
    <w:p>
      <w:pPr>
        <w:pStyle w:val="BodyText"/>
        <w:spacing w:before="4"/>
        <w:ind w:left="0" w:firstLine="0"/>
        <w:jc w:val="left"/>
      </w:pPr>
    </w:p>
    <w:p>
      <w:pPr>
        <w:pStyle w:val="ListParagraph"/>
        <w:numPr>
          <w:ilvl w:val="0"/>
          <w:numId w:val="1"/>
        </w:numPr>
        <w:tabs>
          <w:tab w:pos="1024" w:val="left" w:leader="none"/>
          <w:tab w:pos="1025" w:val="left" w:leader="none"/>
        </w:tabs>
        <w:spacing w:line="240" w:lineRule="auto" w:before="102" w:after="0"/>
        <w:ind w:left="1024" w:right="145" w:hanging="852"/>
        <w:jc w:val="both"/>
        <w:rPr>
          <w:sz w:val="22"/>
        </w:rPr>
      </w:pPr>
      <w:r>
        <w:rPr>
          <w:sz w:val="22"/>
        </w:rPr>
        <w:t>Stanovuje se omezení využívání částí ploch bezprostředně navazujících na </w:t>
      </w:r>
      <w:r>
        <w:rPr>
          <w:b/>
          <w:sz w:val="22"/>
        </w:rPr>
        <w:t>stabilizované plochy pozemních komunikací </w:t>
      </w:r>
      <w:r>
        <w:rPr>
          <w:sz w:val="22"/>
        </w:rPr>
        <w:t>(ochranné koridory), v nichž je nutno v dalších fázích projektové přípravy prokázat potenciální vliv veškerých činností na možnost rozšíření těchto komunikací do území bezprostředně na ně navazujícího při dosažení parametrů stanovených charakteristikou typu příčného uspořádání vč. prostoru pro bezmotorovou dopravu, napojení křižovatek a sjezdů k navazujícím plochám, zastávky VDO a doprovodnou</w:t>
      </w:r>
      <w:r>
        <w:rPr>
          <w:spacing w:val="-1"/>
          <w:sz w:val="22"/>
        </w:rPr>
        <w:t> </w:t>
      </w:r>
      <w:r>
        <w:rPr>
          <w:sz w:val="22"/>
        </w:rPr>
        <w:t>zeleň,</w:t>
      </w:r>
    </w:p>
    <w:p>
      <w:pPr>
        <w:pStyle w:val="BodyText"/>
        <w:tabs>
          <w:tab w:pos="1024" w:val="left" w:leader="none"/>
        </w:tabs>
        <w:spacing w:before="62"/>
        <w:ind w:right="145" w:hanging="852"/>
      </w:pPr>
      <w:r>
        <w:rPr>
          <w:rFonts w:ascii="Times New Roman" w:hAnsi="Times New Roman"/>
        </w:rPr>
        <w:t>-</w:t>
        <w:tab/>
      </w:r>
      <w:r>
        <w:rPr/>
        <w:t>hranice ochranných koridorů se nezakreslují - do vydání ÚR na rozšíření komunikace mohou být stavby v navazujícím území umisťovány pouze tak, aby rozšíření příslušného dopravního prostoru mohlo být realizováno na obě strany s plným využitím stávající komunikace, a to při maximálním respektování stávající</w:t>
      </w:r>
      <w:r>
        <w:rPr>
          <w:spacing w:val="-15"/>
        </w:rPr>
        <w:t> </w:t>
      </w:r>
      <w:r>
        <w:rPr/>
        <w:t>zástavby.</w:t>
      </w:r>
    </w:p>
    <w:p>
      <w:pPr>
        <w:pStyle w:val="ListParagraph"/>
        <w:numPr>
          <w:ilvl w:val="0"/>
          <w:numId w:val="1"/>
        </w:numPr>
        <w:tabs>
          <w:tab w:pos="1024" w:val="left" w:leader="none"/>
          <w:tab w:pos="1025" w:val="left" w:leader="none"/>
        </w:tabs>
        <w:spacing w:line="240" w:lineRule="auto" w:before="60" w:after="0"/>
        <w:ind w:left="1024" w:right="144" w:hanging="852"/>
        <w:jc w:val="both"/>
        <w:rPr>
          <w:sz w:val="22"/>
        </w:rPr>
      </w:pPr>
      <w:r>
        <w:rPr>
          <w:sz w:val="22"/>
        </w:rPr>
        <w:t>Stanovuje se omezení využívání částí ploch bezprostředně navazujících na plochy pozemních komunikací </w:t>
      </w:r>
      <w:r>
        <w:rPr>
          <w:b/>
          <w:sz w:val="22"/>
        </w:rPr>
        <w:t>přenášejících významné turistické trasy </w:t>
      </w:r>
      <w:r>
        <w:rPr>
          <w:sz w:val="22"/>
        </w:rPr>
        <w:t>(multifunkční turistické koridory), v nichž je nutno v dalších fázích projektové přípravy prokázat potenciální vliv veškerých činností na možnost umístění těchto tras při dosažení parametrů stanovených charakteristikou typu příčného uspořádání vč. prostoru pro doprovodné vybavení, křižovatková napojení a doprovodnou</w:t>
      </w:r>
      <w:r>
        <w:rPr>
          <w:spacing w:val="-5"/>
          <w:sz w:val="22"/>
        </w:rPr>
        <w:t> </w:t>
      </w:r>
      <w:r>
        <w:rPr>
          <w:sz w:val="22"/>
        </w:rPr>
        <w:t>zeleň,</w:t>
      </w:r>
    </w:p>
    <w:p>
      <w:pPr>
        <w:pStyle w:val="BodyText"/>
        <w:tabs>
          <w:tab w:pos="1024" w:val="left" w:leader="none"/>
        </w:tabs>
        <w:spacing w:before="19"/>
        <w:ind w:left="172" w:firstLine="0"/>
      </w:pPr>
      <w:r>
        <w:rPr>
          <w:rFonts w:ascii="Times New Roman" w:hAnsi="Times New Roman"/>
        </w:rPr>
        <w:t>-</w:t>
        <w:tab/>
      </w:r>
      <w:r>
        <w:rPr/>
        <w:t>koridory jsou zakresleny v Hlavním výkresu (2) a Koordinačním výkresu</w:t>
      </w:r>
      <w:r>
        <w:rPr>
          <w:spacing w:val="-16"/>
        </w:rPr>
        <w:t> </w:t>
      </w:r>
      <w:r>
        <w:rPr/>
        <w:t>(5).</w:t>
      </w:r>
    </w:p>
    <w:p>
      <w:pPr>
        <w:pStyle w:val="Heading3"/>
        <w:spacing w:before="118"/>
      </w:pPr>
      <w:r>
        <w:rPr/>
        <w:t>KORIDORY TECHNICKÉ INFRASTRUKTURY</w:t>
      </w:r>
    </w:p>
    <w:p>
      <w:pPr>
        <w:pStyle w:val="ListParagraph"/>
        <w:numPr>
          <w:ilvl w:val="0"/>
          <w:numId w:val="1"/>
        </w:numPr>
        <w:tabs>
          <w:tab w:pos="1024" w:val="left" w:leader="none"/>
          <w:tab w:pos="1025" w:val="left" w:leader="none"/>
        </w:tabs>
        <w:spacing w:line="240" w:lineRule="auto" w:before="61" w:after="0"/>
        <w:ind w:left="1024" w:right="146" w:hanging="852"/>
        <w:jc w:val="both"/>
        <w:rPr>
          <w:sz w:val="22"/>
        </w:rPr>
      </w:pPr>
      <w:r>
        <w:rPr>
          <w:sz w:val="22"/>
        </w:rPr>
        <w:t>Stanovuje se omezení využívání částí ploch bezprostředně navazujících na </w:t>
      </w:r>
      <w:r>
        <w:rPr>
          <w:b/>
          <w:sz w:val="22"/>
        </w:rPr>
        <w:t>liniová vedení technické infrastruktury </w:t>
      </w:r>
      <w:r>
        <w:rPr>
          <w:sz w:val="22"/>
        </w:rPr>
        <w:t>navržená mimo veřejná prostranství (ochranné koridory), v nichž je nutno v dalších fázích projektové přípravy prokázat potenciální vliv veškerých činností na možnost umístění těchto vedení do území bezprostředně na ně navazujícího při dosažení parametrů stanovených jejich</w:t>
      </w:r>
      <w:r>
        <w:rPr>
          <w:spacing w:val="-8"/>
          <w:sz w:val="22"/>
        </w:rPr>
        <w:t> </w:t>
      </w:r>
      <w:r>
        <w:rPr>
          <w:sz w:val="22"/>
        </w:rPr>
        <w:t>charakteristikou,</w:t>
      </w:r>
    </w:p>
    <w:p>
      <w:pPr>
        <w:pStyle w:val="BodyText"/>
        <w:tabs>
          <w:tab w:pos="1024" w:val="left" w:leader="none"/>
        </w:tabs>
        <w:spacing w:before="22"/>
        <w:ind w:right="143"/>
      </w:pPr>
      <w:r>
        <w:rPr>
          <w:rFonts w:ascii="Times New Roman" w:hAnsi="Times New Roman"/>
        </w:rPr>
        <w:t>-</w:t>
        <w:tab/>
      </w:r>
      <w:r>
        <w:rPr/>
        <w:t>hranice ochranných koridorů se nezakreslují, vymezují se vzdáleností 10 m na každou stranu od osy liniového vedení zakreslené ve Výkresu koncepce technické infrastruktury (3), do vydání ÚR na umístění vedení mohou být stavby v takto vymezeném území umisťovány pouze tak, aby vedení mohlo být realizováno v celém takto vymezeném prostoru, a to při maximálním respektování stávající</w:t>
      </w:r>
      <w:r>
        <w:rPr>
          <w:spacing w:val="-11"/>
        </w:rPr>
        <w:t> </w:t>
      </w:r>
      <w:r>
        <w:rPr/>
        <w:t>zástavby.</w:t>
      </w:r>
    </w:p>
    <w:p>
      <w:pPr>
        <w:pStyle w:val="Heading3"/>
        <w:spacing w:before="116"/>
      </w:pPr>
      <w:r>
        <w:rPr/>
        <w:t>OCHRANA VEŘEJNÝCH PROSTRANSTVÍ</w:t>
      </w:r>
    </w:p>
    <w:p>
      <w:pPr>
        <w:pStyle w:val="ListParagraph"/>
        <w:numPr>
          <w:ilvl w:val="0"/>
          <w:numId w:val="1"/>
        </w:numPr>
        <w:tabs>
          <w:tab w:pos="1024" w:val="left" w:leader="none"/>
          <w:tab w:pos="1025" w:val="left" w:leader="none"/>
        </w:tabs>
        <w:spacing w:line="240" w:lineRule="auto" w:before="61" w:after="0"/>
        <w:ind w:left="1024" w:right="146" w:hanging="852"/>
        <w:jc w:val="both"/>
        <w:rPr>
          <w:sz w:val="22"/>
        </w:rPr>
      </w:pPr>
      <w:r>
        <w:rPr>
          <w:sz w:val="22"/>
        </w:rPr>
        <w:t>Stanovuje se omezení využívání částí zastavěných a zastavitelných ploch a ploch přestavby dotýkající se </w:t>
      </w:r>
      <w:r>
        <w:rPr>
          <w:b/>
          <w:sz w:val="22"/>
        </w:rPr>
        <w:t>veřejných prostranství</w:t>
      </w:r>
      <w:r>
        <w:rPr>
          <w:sz w:val="22"/>
        </w:rPr>
        <w:t>, která jsou nedílnou součástí těchto ploch, v nichž je nutno prokázat potenciální vliv jejich využití na funkčnost těchto veřejných</w:t>
      </w:r>
      <w:r>
        <w:rPr>
          <w:spacing w:val="-1"/>
          <w:sz w:val="22"/>
        </w:rPr>
        <w:t> </w:t>
      </w:r>
      <w:r>
        <w:rPr>
          <w:sz w:val="22"/>
        </w:rPr>
        <w:t>prostranství,</w:t>
      </w:r>
    </w:p>
    <w:p>
      <w:pPr>
        <w:pStyle w:val="BodyText"/>
        <w:tabs>
          <w:tab w:pos="1024" w:val="left" w:leader="none"/>
        </w:tabs>
        <w:spacing w:before="21"/>
        <w:ind w:right="144" w:hanging="852"/>
      </w:pPr>
      <w:r>
        <w:rPr>
          <w:rFonts w:ascii="Times New Roman" w:hAnsi="Times New Roman"/>
        </w:rPr>
        <w:t>-</w:t>
        <w:tab/>
      </w:r>
      <w:r>
        <w:rPr/>
        <w:t>přitom musí být  pro  uživatele  zastavěných  a  zastavitelných  ploch  a  ploch  přestavby v docházce do 400 m zajištěna dostatečně kapacitní veřejná prostranství s funkcí hřišť a rekreační zeleně, která jsou zakreslena v územní studii zeleně, případně navržena nová, která je plnohodnotně</w:t>
      </w:r>
      <w:r>
        <w:rPr>
          <w:spacing w:val="-7"/>
        </w:rPr>
        <w:t> </w:t>
      </w:r>
      <w:r>
        <w:rPr/>
        <w:t>nahradí.</w:t>
      </w:r>
    </w:p>
    <w:p>
      <w:pPr>
        <w:pStyle w:val="Heading3"/>
      </w:pPr>
      <w:r>
        <w:rPr/>
        <w:t>OCHRANA PŘÍRODNÍCH PRVKŮ</w:t>
      </w:r>
    </w:p>
    <w:p>
      <w:pPr>
        <w:pStyle w:val="ListParagraph"/>
        <w:numPr>
          <w:ilvl w:val="0"/>
          <w:numId w:val="1"/>
        </w:numPr>
        <w:tabs>
          <w:tab w:pos="1024" w:val="left" w:leader="none"/>
          <w:tab w:pos="1025" w:val="left" w:leader="none"/>
        </w:tabs>
        <w:spacing w:line="240" w:lineRule="auto" w:before="62" w:after="0"/>
        <w:ind w:left="1024" w:right="146" w:hanging="852"/>
        <w:jc w:val="both"/>
        <w:rPr>
          <w:sz w:val="22"/>
        </w:rPr>
      </w:pPr>
      <w:r>
        <w:rPr>
          <w:sz w:val="22"/>
        </w:rPr>
        <w:t>Stanovuje se omezení využívání částí zastavěných a zastavitelných ploch a ploch přestavby bezprostředně navazujících na </w:t>
      </w:r>
      <w:r>
        <w:rPr>
          <w:b/>
          <w:sz w:val="22"/>
        </w:rPr>
        <w:t>přírodní prvky, </w:t>
      </w:r>
      <w:r>
        <w:rPr>
          <w:sz w:val="22"/>
        </w:rPr>
        <w:t>v nichž je nutno z hlediska migračního režimu, vodního režimu, terénních úprav a celkové ekologické funkce prokázat potenciální vliv jejich využívání na funkčnost a úpravy stávajících resp. návrh nových přírodních prvků při dosažení požadovaných parametrů, jedná se</w:t>
      </w:r>
      <w:r>
        <w:rPr>
          <w:spacing w:val="-18"/>
          <w:sz w:val="22"/>
        </w:rPr>
        <w:t> </w:t>
      </w:r>
      <w:r>
        <w:rPr>
          <w:sz w:val="22"/>
        </w:rPr>
        <w:t>o:</w:t>
      </w:r>
    </w:p>
    <w:p>
      <w:pPr>
        <w:pStyle w:val="BodyText"/>
        <w:tabs>
          <w:tab w:pos="1024" w:val="left" w:leader="none"/>
        </w:tabs>
        <w:spacing w:before="16"/>
        <w:ind w:left="172" w:firstLine="0"/>
      </w:pPr>
      <w:r>
        <w:rPr>
          <w:rFonts w:ascii="Times New Roman" w:hAnsi="Times New Roman"/>
        </w:rPr>
        <w:t>-</w:t>
        <w:tab/>
      </w:r>
      <w:r>
        <w:rPr/>
        <w:t>plochy do vzdálenosti 20 m od hranice </w:t>
      </w:r>
      <w:r>
        <w:rPr>
          <w:b/>
        </w:rPr>
        <w:t>biocenter, </w:t>
      </w:r>
      <w:r>
        <w:rPr/>
        <w:t>nezakreslují</w:t>
      </w:r>
      <w:r>
        <w:rPr>
          <w:spacing w:val="-11"/>
        </w:rPr>
        <w:t> </w:t>
      </w:r>
      <w:r>
        <w:rPr/>
        <w:t>se,</w:t>
      </w:r>
    </w:p>
    <w:p>
      <w:pPr>
        <w:pStyle w:val="BodyText"/>
        <w:tabs>
          <w:tab w:pos="1024" w:val="left" w:leader="none"/>
        </w:tabs>
        <w:spacing w:line="242" w:lineRule="auto" w:before="20"/>
        <w:ind w:right="146"/>
      </w:pPr>
      <w:r>
        <w:rPr>
          <w:rFonts w:ascii="Times New Roman" w:hAnsi="Times New Roman"/>
        </w:rPr>
        <w:t>-</w:t>
        <w:tab/>
      </w:r>
      <w:r>
        <w:rPr/>
        <w:t>plochy do vzdálenosti od osy </w:t>
      </w:r>
      <w:r>
        <w:rPr>
          <w:b/>
        </w:rPr>
        <w:t>biokoridorů </w:t>
      </w:r>
      <w:r>
        <w:rPr/>
        <w:t>odpovídající jejich biogeografickému významu (MBK - 20 m, RBK, NBK - 40 m), nezakreslují</w:t>
      </w:r>
      <w:r>
        <w:rPr>
          <w:spacing w:val="-7"/>
        </w:rPr>
        <w:t> </w:t>
      </w:r>
      <w:r>
        <w:rPr/>
        <w:t>se,</w:t>
      </w:r>
    </w:p>
    <w:p>
      <w:pPr>
        <w:pStyle w:val="BodyText"/>
        <w:tabs>
          <w:tab w:pos="1024" w:val="left" w:leader="none"/>
        </w:tabs>
        <w:spacing w:before="13"/>
        <w:ind w:right="146"/>
      </w:pPr>
      <w:r>
        <w:rPr>
          <w:rFonts w:ascii="Times New Roman" w:hAnsi="Times New Roman"/>
        </w:rPr>
        <w:t>-</w:t>
        <w:tab/>
      </w:r>
      <w:r>
        <w:rPr/>
        <w:t>plochy zasahující do </w:t>
      </w:r>
      <w:r>
        <w:rPr>
          <w:b/>
        </w:rPr>
        <w:t>údolních niv </w:t>
      </w:r>
      <w:r>
        <w:rPr/>
        <w:t>(VKP ze zákona), definovaných součtem ploch záplavového území a ploch do vzdáleností 10 m od břehové čáry vodní plochy resp. osy toku, nezakreslují</w:t>
      </w:r>
      <w:r>
        <w:rPr>
          <w:spacing w:val="-5"/>
        </w:rPr>
        <w:t> </w:t>
      </w:r>
      <w:r>
        <w:rPr/>
        <w:t>se</w:t>
      </w:r>
    </w:p>
    <w:p>
      <w:pPr>
        <w:pStyle w:val="BodyText"/>
        <w:tabs>
          <w:tab w:pos="1024" w:val="left" w:leader="none"/>
        </w:tabs>
        <w:spacing w:line="242" w:lineRule="auto" w:before="21"/>
        <w:ind w:right="144" w:hanging="852"/>
      </w:pPr>
      <w:r>
        <w:rPr>
          <w:rFonts w:ascii="Times New Roman" w:hAnsi="Times New Roman"/>
        </w:rPr>
        <w:t>-</w:t>
        <w:tab/>
      </w:r>
      <w:r>
        <w:rPr/>
        <w:t>plochy do vzdálenosti 25 m od hranice </w:t>
      </w:r>
      <w:r>
        <w:rPr>
          <w:b/>
        </w:rPr>
        <w:t>lesních pozemků </w:t>
      </w:r>
      <w:r>
        <w:rPr/>
        <w:t>(VKP ze zákona), nezakreslují se.</w:t>
      </w:r>
    </w:p>
    <w:p>
      <w:pPr>
        <w:spacing w:after="0" w:line="242" w:lineRule="auto"/>
        <w:sectPr>
          <w:pgSz w:w="11900" w:h="16840"/>
          <w:pgMar w:header="561" w:footer="582" w:top="760" w:bottom="780" w:left="960" w:right="980"/>
        </w:sectPr>
      </w:pPr>
    </w:p>
    <w:p>
      <w:pPr>
        <w:pStyle w:val="BodyText"/>
        <w:spacing w:before="7"/>
        <w:ind w:left="0" w:firstLine="0"/>
        <w:jc w:val="left"/>
      </w:pPr>
    </w:p>
    <w:p>
      <w:pPr>
        <w:pStyle w:val="ListParagraph"/>
        <w:numPr>
          <w:ilvl w:val="0"/>
          <w:numId w:val="1"/>
        </w:numPr>
        <w:tabs>
          <w:tab w:pos="1024" w:val="left" w:leader="none"/>
          <w:tab w:pos="1025" w:val="left" w:leader="none"/>
        </w:tabs>
        <w:spacing w:line="240" w:lineRule="auto" w:before="101" w:after="0"/>
        <w:ind w:left="1024" w:right="146" w:hanging="852"/>
        <w:jc w:val="both"/>
        <w:rPr>
          <w:sz w:val="22"/>
        </w:rPr>
      </w:pPr>
      <w:r>
        <w:rPr>
          <w:sz w:val="22"/>
        </w:rPr>
        <w:t>Stanovuje se omezení využívání částí zastavěných a zastavitelných ploch a ploch přestavby dotčených případným výskytem </w:t>
      </w:r>
      <w:r>
        <w:rPr>
          <w:b/>
          <w:sz w:val="22"/>
        </w:rPr>
        <w:t>zvláště chráněných druhů rostlin a živočichů</w:t>
      </w:r>
      <w:r>
        <w:rPr>
          <w:sz w:val="22"/>
        </w:rPr>
        <w:t>, v nichž je nutno prokázat potenciální vliv nové výstavby na tato stanoviště - nezakreslují se,  jsou  upřesněna  na  základě  podmínek  pro  využití  ploch  uvedených  v tabulkách kapitoly „C.2 Návrh zastavitelných ploch, ploch přestavby a nezastavitelných ploch“ návrhu</w:t>
      </w:r>
      <w:r>
        <w:rPr>
          <w:spacing w:val="1"/>
          <w:sz w:val="22"/>
        </w:rPr>
        <w:t> </w:t>
      </w:r>
      <w:r>
        <w:rPr>
          <w:sz w:val="22"/>
        </w:rPr>
        <w:t>ÚP:</w:t>
      </w:r>
    </w:p>
    <w:p>
      <w:pPr>
        <w:pStyle w:val="BodyText"/>
        <w:tabs>
          <w:tab w:pos="1024" w:val="left" w:leader="none"/>
        </w:tabs>
        <w:spacing w:before="59"/>
        <w:ind w:right="146" w:hanging="852"/>
      </w:pPr>
      <w:r>
        <w:rPr>
          <w:rFonts w:ascii="Times New Roman" w:hAnsi="Times New Roman"/>
        </w:rPr>
        <w:t>-</w:t>
        <w:tab/>
      </w:r>
      <w:r>
        <w:rPr/>
        <w:t>„</w:t>
      </w:r>
      <w:r>
        <w:rPr>
          <w:b/>
        </w:rPr>
        <w:t>CH </w:t>
      </w:r>
      <w:r>
        <w:rPr/>
        <w:t>- v dalších stupních projektové přípravy prokázat vliv nové výstavby na zvláště chráněné druhy rostlin a</w:t>
      </w:r>
      <w:r>
        <w:rPr>
          <w:spacing w:val="-5"/>
        </w:rPr>
        <w:t> </w:t>
      </w:r>
      <w:r>
        <w:rPr/>
        <w:t>živočichů“.</w:t>
      </w:r>
    </w:p>
    <w:p>
      <w:pPr>
        <w:pStyle w:val="Heading3"/>
        <w:spacing w:before="120"/>
      </w:pPr>
      <w:r>
        <w:rPr/>
        <w:t>VYLOUČENÍ UMISŤOVÁNÍ STAVEB V NEZASTAVĚNÉM ÚZEMÍ</w:t>
      </w:r>
    </w:p>
    <w:p>
      <w:pPr>
        <w:pStyle w:val="ListParagraph"/>
        <w:numPr>
          <w:ilvl w:val="0"/>
          <w:numId w:val="1"/>
        </w:numPr>
        <w:tabs>
          <w:tab w:pos="1024" w:val="left" w:leader="none"/>
          <w:tab w:pos="1025" w:val="left" w:leader="none"/>
        </w:tabs>
        <w:spacing w:line="242" w:lineRule="auto" w:before="119" w:after="0"/>
        <w:ind w:left="1024" w:right="143" w:hanging="852"/>
        <w:jc w:val="both"/>
        <w:rPr>
          <w:sz w:val="22"/>
        </w:rPr>
      </w:pPr>
      <w:r>
        <w:rPr>
          <w:sz w:val="22"/>
        </w:rPr>
        <w:t>Umisťování staveb, zařízení a jiných opatření v nezastavěném území podle </w:t>
      </w:r>
      <w:r>
        <w:rPr>
          <w:b/>
          <w:sz w:val="22"/>
        </w:rPr>
        <w:t>§ 18 odst. 5 </w:t>
      </w:r>
      <w:r>
        <w:rPr>
          <w:sz w:val="22"/>
        </w:rPr>
        <w:t>stavebního zákona se nepřipouští, pokud není v souladu s podmínkami pro funkční využití a prostorové uspořádání území tohoto územního</w:t>
      </w:r>
      <w:r>
        <w:rPr>
          <w:spacing w:val="-8"/>
          <w:sz w:val="22"/>
        </w:rPr>
        <w:t> </w:t>
      </w:r>
      <w:r>
        <w:rPr>
          <w:sz w:val="22"/>
        </w:rPr>
        <w:t>plánu.</w:t>
      </w:r>
    </w:p>
    <w:p>
      <w:pPr>
        <w:pStyle w:val="ListParagraph"/>
        <w:numPr>
          <w:ilvl w:val="0"/>
          <w:numId w:val="1"/>
        </w:numPr>
        <w:tabs>
          <w:tab w:pos="1024" w:val="left" w:leader="none"/>
          <w:tab w:pos="1025" w:val="left" w:leader="none"/>
        </w:tabs>
        <w:spacing w:line="240" w:lineRule="auto" w:before="111" w:after="0"/>
        <w:ind w:left="1024" w:right="148" w:hanging="852"/>
        <w:jc w:val="both"/>
        <w:rPr>
          <w:sz w:val="22"/>
        </w:rPr>
      </w:pPr>
      <w:r>
        <w:rPr>
          <w:sz w:val="22"/>
        </w:rPr>
        <w:t>V nezastavěném území </w:t>
      </w:r>
      <w:r>
        <w:rPr>
          <w:b/>
          <w:sz w:val="22"/>
        </w:rPr>
        <w:t>Přírodního parku Ještěd </w:t>
      </w:r>
      <w:r>
        <w:rPr>
          <w:sz w:val="22"/>
        </w:rPr>
        <w:t>se umisťování staveb, zařízení a jiných opatření podle </w:t>
      </w:r>
      <w:r>
        <w:rPr>
          <w:b/>
          <w:sz w:val="22"/>
        </w:rPr>
        <w:t>§ 79 odst. 2 </w:t>
      </w:r>
      <w:r>
        <w:rPr>
          <w:sz w:val="22"/>
        </w:rPr>
        <w:t>stavebního zákona nepřipouští, pokud není v souladu s podmínkami pro funkční využití a prostorové uspořádání území tohoto územního</w:t>
      </w:r>
      <w:r>
        <w:rPr>
          <w:spacing w:val="-32"/>
          <w:sz w:val="22"/>
        </w:rPr>
        <w:t> </w:t>
      </w:r>
      <w:r>
        <w:rPr>
          <w:sz w:val="22"/>
        </w:rPr>
        <w:t>plánu.</w:t>
      </w:r>
    </w:p>
    <w:p>
      <w:pPr>
        <w:pStyle w:val="BodyText"/>
        <w:spacing w:before="4"/>
        <w:ind w:left="0" w:firstLine="0"/>
        <w:jc w:val="left"/>
        <w:rPr>
          <w:sz w:val="19"/>
        </w:rPr>
      </w:pPr>
      <w:r>
        <w:rPr/>
        <w:pict>
          <v:shape style="position:absolute;margin-left:55.199997pt;margin-top:12.367671pt;width:484.7pt;height:14.9pt;mso-position-horizontal-relative:page;mso-position-vertical-relative:paragraph;z-index:-15712256;mso-wrap-distance-left:0;mso-wrap-distance-right:0" type="#_x0000_t202" filled="true" fillcolor="#ccffff" stroked="false">
            <v:textbox inset="0,0,0,0">
              <w:txbxContent>
                <w:p>
                  <w:pPr>
                    <w:tabs>
                      <w:tab w:pos="880" w:val="left" w:leader="none"/>
                    </w:tabs>
                    <w:spacing w:line="295" w:lineRule="exact" w:before="0"/>
                    <w:ind w:left="28" w:right="0" w:firstLine="0"/>
                    <w:jc w:val="left"/>
                    <w:rPr>
                      <w:b/>
                      <w:sz w:val="26"/>
                    </w:rPr>
                  </w:pPr>
                  <w:r>
                    <w:rPr>
                      <w:b/>
                      <w:sz w:val="26"/>
                    </w:rPr>
                    <w:t>F.4</w:t>
                    <w:tab/>
                    <w:t>PODMÍNKY PROSTOROVÉHO</w:t>
                  </w:r>
                  <w:r>
                    <w:rPr>
                      <w:b/>
                      <w:spacing w:val="-3"/>
                      <w:sz w:val="26"/>
                    </w:rPr>
                    <w:t> </w:t>
                  </w:r>
                  <w:r>
                    <w:rPr>
                      <w:b/>
                      <w:sz w:val="26"/>
                    </w:rPr>
                    <w:t>USPOŘÁDÁNÍ</w:t>
                  </w:r>
                </w:p>
              </w:txbxContent>
            </v:textbox>
            <v:fill type="solid"/>
            <w10:wrap type="topAndBottom"/>
          </v:shape>
        </w:pict>
      </w:r>
    </w:p>
    <w:p>
      <w:pPr>
        <w:pStyle w:val="ListParagraph"/>
        <w:numPr>
          <w:ilvl w:val="0"/>
          <w:numId w:val="1"/>
        </w:numPr>
        <w:tabs>
          <w:tab w:pos="1024" w:val="left" w:leader="none"/>
          <w:tab w:pos="1025" w:val="left" w:leader="none"/>
        </w:tabs>
        <w:spacing w:line="240" w:lineRule="auto" w:before="102" w:after="0"/>
        <w:ind w:left="1024" w:right="144" w:hanging="853"/>
        <w:jc w:val="left"/>
        <w:rPr>
          <w:sz w:val="22"/>
        </w:rPr>
      </w:pPr>
      <w:r>
        <w:rPr>
          <w:sz w:val="22"/>
        </w:rPr>
        <w:t>Základní podmínky ochrany krajinného rázu na celém území města Chrastava jsou dány níže uvedenými podmínkami prostorového uspořádání - „prostorové</w:t>
      </w:r>
      <w:r>
        <w:rPr>
          <w:spacing w:val="-13"/>
          <w:sz w:val="22"/>
        </w:rPr>
        <w:t> </w:t>
      </w:r>
      <w:r>
        <w:rPr>
          <w:sz w:val="22"/>
        </w:rPr>
        <w:t>regulativy“,</w:t>
      </w:r>
    </w:p>
    <w:p>
      <w:pPr>
        <w:pStyle w:val="BodyText"/>
        <w:tabs>
          <w:tab w:pos="1024" w:val="left" w:leader="none"/>
        </w:tabs>
        <w:spacing w:before="145"/>
        <w:ind w:right="147"/>
        <w:jc w:val="left"/>
      </w:pPr>
      <w:r>
        <w:rPr>
          <w:rFonts w:ascii="Times New Roman" w:hAnsi="Times New Roman"/>
        </w:rPr>
        <w:t>-</w:t>
        <w:tab/>
      </w:r>
      <w:r>
        <w:rPr/>
        <w:t>to však nezbavuje stavebníky v případě vyžádání příslušným dotčeným orgánem prokázat (ne)narušení krajinného rázu u každého konkrétního stavebního</w:t>
      </w:r>
      <w:r>
        <w:rPr>
          <w:spacing w:val="-12"/>
        </w:rPr>
        <w:t> </w:t>
      </w:r>
      <w:r>
        <w:rPr/>
        <w:t>záměru.</w:t>
      </w:r>
    </w:p>
    <w:p>
      <w:pPr>
        <w:pStyle w:val="ListParagraph"/>
        <w:numPr>
          <w:ilvl w:val="0"/>
          <w:numId w:val="1"/>
        </w:numPr>
        <w:tabs>
          <w:tab w:pos="1024" w:val="left" w:leader="none"/>
          <w:tab w:pos="1025" w:val="left" w:leader="none"/>
        </w:tabs>
        <w:spacing w:line="251" w:lineRule="exact" w:before="119" w:after="0"/>
        <w:ind w:left="1024" w:right="0" w:hanging="853"/>
        <w:jc w:val="left"/>
        <w:rPr>
          <w:sz w:val="22"/>
        </w:rPr>
      </w:pPr>
      <w:r>
        <w:rPr>
          <w:sz w:val="22"/>
        </w:rPr>
        <w:t>Stabilizované plochy, resp. jejich homogenní části a rozvojové plochy mají</w:t>
      </w:r>
      <w:r>
        <w:rPr>
          <w:spacing w:val="24"/>
          <w:sz w:val="22"/>
        </w:rPr>
        <w:t> </w:t>
      </w:r>
      <w:r>
        <w:rPr>
          <w:sz w:val="22"/>
        </w:rPr>
        <w:t>přiřazeny</w:t>
      </w:r>
    </w:p>
    <w:p>
      <w:pPr>
        <w:pStyle w:val="BodyText"/>
        <w:spacing w:line="251" w:lineRule="exact"/>
        <w:ind w:firstLine="0"/>
        <w:jc w:val="left"/>
      </w:pPr>
      <w:r>
        <w:rPr>
          <w:b/>
        </w:rPr>
        <w:t>regulační kódy </w:t>
      </w:r>
      <w:r>
        <w:rPr/>
        <w:t>určující kromě funkčního využití také jejich prostorové</w:t>
      </w:r>
      <w:r>
        <w:rPr>
          <w:spacing w:val="-40"/>
        </w:rPr>
        <w:t> </w:t>
      </w:r>
      <w:r>
        <w:rPr/>
        <w:t>uspořádání.</w:t>
      </w:r>
    </w:p>
    <w:p>
      <w:pPr>
        <w:pStyle w:val="ListParagraph"/>
        <w:numPr>
          <w:ilvl w:val="0"/>
          <w:numId w:val="1"/>
        </w:numPr>
        <w:tabs>
          <w:tab w:pos="1024" w:val="left" w:leader="none"/>
          <w:tab w:pos="1025" w:val="left" w:leader="none"/>
        </w:tabs>
        <w:spacing w:line="240" w:lineRule="auto" w:before="124" w:after="0"/>
        <w:ind w:left="1024" w:right="0" w:hanging="853"/>
        <w:jc w:val="left"/>
        <w:rPr>
          <w:sz w:val="22"/>
        </w:rPr>
      </w:pPr>
      <w:r>
        <w:rPr>
          <w:sz w:val="22"/>
        </w:rPr>
        <w:t>Regulační kódy pro rozvojové plochy (plochy změn) se definují ve</w:t>
      </w:r>
      <w:r>
        <w:rPr>
          <w:spacing w:val="-34"/>
          <w:sz w:val="22"/>
        </w:rPr>
        <w:t> </w:t>
      </w:r>
      <w:r>
        <w:rPr>
          <w:sz w:val="22"/>
        </w:rPr>
        <w:t>tvaru:</w:t>
      </w:r>
    </w:p>
    <w:p>
      <w:pPr>
        <w:pStyle w:val="Heading1"/>
      </w:pPr>
      <w:r>
        <w:rPr/>
        <w:pict>
          <v:shape style="position:absolute;margin-left:110.400002pt;margin-top:26.339199pt;width:6pt;height:24.75pt;mso-position-horizontal-relative:page;mso-position-vertical-relative:paragraph;z-index:-19636736" coordorigin="2208,527" coordsize="120,495" path="m2268,620l2263,623,2261,628,2261,1014,2263,1019,2268,1021,2273,1019,2275,1014,2275,628,2273,623,2268,620xm2268,527l2208,647,2261,647,2261,628,2263,623,2268,620,2315,620,2268,527xm2315,620l2268,620,2273,623,2275,628,2275,647,2328,647,2315,620xe" filled="true" fillcolor="#000000" stroked="false">
            <v:path arrowok="t"/>
            <v:fill type="solid"/>
            <w10:wrap type="none"/>
          </v:shape>
        </w:pict>
      </w:r>
      <w:r>
        <w:rPr/>
        <w:pict>
          <v:shape style="position:absolute;margin-left:131.880005pt;margin-top:26.339199pt;width:6pt;height:41.65pt;mso-position-horizontal-relative:page;mso-position-vertical-relative:paragraph;z-index:-19636224" coordorigin="2638,527" coordsize="120,833" path="m2698,620l2690,623,2688,1352,2690,1357,2695,1360,2702,1357,2705,628,2702,623,2698,620xm2698,527l2638,647,2690,647,2690,623,2698,620,2744,620,2698,527xm2744,620l2698,620,2702,623,2705,628,2705,647,2758,647,2744,620xe" filled="true" fillcolor="#000000" stroked="false">
            <v:path arrowok="t"/>
            <v:fill type="solid"/>
            <w10:wrap type="none"/>
          </v:shape>
        </w:pict>
      </w:r>
      <w:r>
        <w:rPr/>
        <w:drawing>
          <wp:anchor distT="0" distB="0" distL="0" distR="0" allowOverlap="1" layoutInCell="1" locked="0" behindDoc="0" simplePos="0" relativeHeight="15747584">
            <wp:simplePos x="0" y="0"/>
            <wp:positionH relativeFrom="page">
              <wp:posOffset>2558796</wp:posOffset>
            </wp:positionH>
            <wp:positionV relativeFrom="paragraph">
              <wp:posOffset>351271</wp:posOffset>
            </wp:positionV>
            <wp:extent cx="76200" cy="99060"/>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9" cstate="print"/>
                    <a:stretch>
                      <a:fillRect/>
                    </a:stretch>
                  </pic:blipFill>
                  <pic:spPr>
                    <a:xfrm>
                      <a:off x="0" y="0"/>
                      <a:ext cx="76200" cy="99060"/>
                    </a:xfrm>
                    <a:prstGeom prst="rect">
                      <a:avLst/>
                    </a:prstGeom>
                  </pic:spPr>
                </pic:pic>
              </a:graphicData>
            </a:graphic>
          </wp:anchor>
        </w:drawing>
      </w:r>
      <w:r>
        <w:rPr/>
        <w:pict>
          <v:shape style="position:absolute;margin-left:151.440002pt;margin-top:26.339199pt;width:6pt;height:41.65pt;mso-position-horizontal-relative:page;mso-position-vertical-relative:paragraph;z-index:-19635200" coordorigin="3029,527" coordsize="120,833" path="m3089,620l3084,623,3082,628,3082,1357,3089,1360,3094,1357,3096,1352,3096,628,3094,623,3089,620xm3089,527l3029,647,3082,647,3082,628,3084,623,3089,620,3136,620,3089,527xm3136,620l3089,620,3094,623,3096,628,3096,647,3149,647,3136,620xe" filled="true" fillcolor="#000000" stroked="false">
            <v:path arrowok="t"/>
            <v:fill type="solid"/>
            <w10:wrap type="none"/>
          </v:shape>
        </w:pict>
      </w:r>
      <w:r>
        <w:rPr/>
        <w:pict>
          <v:shape style="position:absolute;margin-left:173.639999pt;margin-top:27.659199pt;width:5.9pt;height:23.4pt;mso-position-horizontal-relative:page;mso-position-vertical-relative:paragraph;z-index:-19634688" coordorigin="3473,553" coordsize="118,468" path="m3525,674l3514,1014,3516,1019,3521,1021,3528,1019,3530,1014,3539,675,3525,674xm3577,647l3533,647,3538,649,3540,654,3539,675,3590,676,3577,647xm3533,647l3528,649,3526,654,3525,674,3539,675,3540,654,3538,649,3533,647xm3535,553l3473,673,3525,674,3526,654,3528,649,3533,647,3577,647,3535,553xe" filled="true" fillcolor="#000000" stroked="false">
            <v:path arrowok="t"/>
            <v:fill type="solid"/>
            <w10:wrap type="none"/>
          </v:shape>
        </w:pict>
      </w:r>
      <w:r>
        <w:rPr/>
        <w:t>16.O.9.30.40</w:t>
      </w:r>
    </w:p>
    <w:p>
      <w:pPr>
        <w:spacing w:before="123"/>
        <w:ind w:left="3074" w:right="0" w:firstLine="0"/>
        <w:jc w:val="left"/>
        <w:rPr>
          <w:sz w:val="18"/>
        </w:rPr>
      </w:pPr>
      <w:r>
        <w:rPr>
          <w:sz w:val="18"/>
        </w:rPr>
        <w:t>minimální koeficient zeleně (Kz)</w:t>
      </w:r>
    </w:p>
    <w:p>
      <w:pPr>
        <w:tabs>
          <w:tab w:pos="2104" w:val="left" w:leader="none"/>
          <w:tab w:pos="2543" w:val="left" w:leader="none"/>
        </w:tabs>
        <w:spacing w:line="320" w:lineRule="atLeast" w:before="7"/>
        <w:ind w:left="1224" w:right="2770" w:hanging="1052"/>
        <w:jc w:val="left"/>
        <w:rPr>
          <w:sz w:val="18"/>
        </w:rPr>
      </w:pPr>
      <w:r>
        <w:rPr>
          <w:sz w:val="18"/>
        </w:rPr>
        <w:t>pořadové</w:t>
      </w:r>
      <w:r>
        <w:rPr>
          <w:spacing w:val="-4"/>
          <w:sz w:val="18"/>
        </w:rPr>
        <w:t> </w:t>
      </w:r>
      <w:r>
        <w:rPr>
          <w:sz w:val="18"/>
        </w:rPr>
        <w:t>číslo</w:t>
        <w:tab/>
        <w:tab/>
        <w:t>maximální koeficient zastavění nadzemními stavbami (Kn) funkce</w:t>
        <w:tab/>
        <w:t>výšková hladina v metrech</w:t>
      </w:r>
    </w:p>
    <w:p>
      <w:pPr>
        <w:pStyle w:val="BodyText"/>
        <w:tabs>
          <w:tab w:pos="1024" w:val="left" w:leader="none"/>
        </w:tabs>
        <w:spacing w:before="23"/>
        <w:ind w:left="172" w:firstLine="0"/>
        <w:jc w:val="left"/>
      </w:pPr>
      <w:r>
        <w:rPr>
          <w:rFonts w:ascii="Times New Roman" w:hAnsi="Times New Roman"/>
        </w:rPr>
        <w:t>-</w:t>
        <w:tab/>
      </w:r>
      <w:r>
        <w:rPr/>
        <w:t>1. pozice (1-99) označuje pořadové číslo plochy změny v rámci katastrálního</w:t>
      </w:r>
      <w:r>
        <w:rPr>
          <w:spacing w:val="-24"/>
        </w:rPr>
        <w:t> </w:t>
      </w:r>
      <w:r>
        <w:rPr/>
        <w:t>území,</w:t>
      </w:r>
    </w:p>
    <w:p>
      <w:pPr>
        <w:pStyle w:val="BodyText"/>
        <w:tabs>
          <w:tab w:pos="1024" w:val="left" w:leader="none"/>
        </w:tabs>
        <w:spacing w:before="20"/>
        <w:ind w:left="172" w:firstLine="0"/>
        <w:jc w:val="left"/>
      </w:pPr>
      <w:r>
        <w:rPr>
          <w:rFonts w:ascii="Times New Roman" w:hAnsi="Times New Roman"/>
        </w:rPr>
        <w:t>-</w:t>
        <w:tab/>
      </w:r>
      <w:r>
        <w:rPr/>
        <w:t>2. pozice (A-Z) označuje funkci plochy s rozdílným způsobem</w:t>
      </w:r>
      <w:r>
        <w:rPr>
          <w:spacing w:val="-9"/>
        </w:rPr>
        <w:t> </w:t>
      </w:r>
      <w:r>
        <w:rPr/>
        <w:t>využití,</w:t>
      </w:r>
    </w:p>
    <w:p>
      <w:pPr>
        <w:pStyle w:val="BodyText"/>
        <w:tabs>
          <w:tab w:pos="1024" w:val="left" w:leader="none"/>
        </w:tabs>
        <w:spacing w:before="20"/>
        <w:ind w:left="172" w:firstLine="0"/>
        <w:jc w:val="left"/>
      </w:pPr>
      <w:r>
        <w:rPr>
          <w:rFonts w:ascii="Times New Roman" w:hAnsi="Times New Roman"/>
        </w:rPr>
        <w:t>-</w:t>
        <w:tab/>
      </w:r>
      <w:r>
        <w:rPr/>
        <w:t>3. pozice (0-30) označuje výškovou hladinu</w:t>
      </w:r>
      <w:r>
        <w:rPr>
          <w:spacing w:val="-1"/>
        </w:rPr>
        <w:t> </w:t>
      </w:r>
      <w:r>
        <w:rPr>
          <w:spacing w:val="-4"/>
        </w:rPr>
        <w:t>zástavby,</w:t>
      </w:r>
    </w:p>
    <w:p>
      <w:pPr>
        <w:pStyle w:val="BodyText"/>
        <w:tabs>
          <w:tab w:pos="1024" w:val="left" w:leader="none"/>
        </w:tabs>
        <w:spacing w:before="19"/>
        <w:ind w:left="172" w:firstLine="0"/>
        <w:jc w:val="left"/>
      </w:pPr>
      <w:r>
        <w:rPr>
          <w:rFonts w:ascii="Times New Roman" w:hAnsi="Times New Roman"/>
        </w:rPr>
        <w:t>-</w:t>
        <w:tab/>
      </w:r>
      <w:r>
        <w:rPr/>
        <w:t>4.pozice (0-100) označuje intenzitu využití ploch (maximální koeficient zastavění</w:t>
      </w:r>
      <w:r>
        <w:rPr>
          <w:spacing w:val="-18"/>
        </w:rPr>
        <w:t> </w:t>
      </w:r>
      <w:r>
        <w:rPr/>
        <w:t>Kn),</w:t>
      </w:r>
    </w:p>
    <w:p>
      <w:pPr>
        <w:pStyle w:val="BodyText"/>
        <w:tabs>
          <w:tab w:pos="1024" w:val="left" w:leader="none"/>
        </w:tabs>
        <w:spacing w:before="18"/>
        <w:ind w:left="172" w:firstLine="0"/>
        <w:jc w:val="left"/>
      </w:pPr>
      <w:r>
        <w:rPr>
          <w:rFonts w:ascii="Times New Roman" w:hAnsi="Times New Roman"/>
        </w:rPr>
        <w:t>-</w:t>
        <w:tab/>
      </w:r>
      <w:r>
        <w:rPr/>
        <w:t>6. pozice (0-100) označuje intenzitu využití ploch (minimální koeficient zeleně</w:t>
      </w:r>
      <w:r>
        <w:rPr>
          <w:spacing w:val="-18"/>
        </w:rPr>
        <w:t> </w:t>
      </w:r>
      <w:r>
        <w:rPr/>
        <w:t>Kz),</w:t>
      </w:r>
    </w:p>
    <w:p>
      <w:pPr>
        <w:pStyle w:val="BodyText"/>
        <w:tabs>
          <w:tab w:pos="1024" w:val="left" w:leader="none"/>
        </w:tabs>
        <w:spacing w:before="19"/>
        <w:ind w:right="142"/>
      </w:pPr>
      <w:r>
        <w:rPr>
          <w:rFonts w:ascii="Times New Roman" w:hAnsi="Times New Roman"/>
        </w:rPr>
        <w:t>-</w:t>
        <w:tab/>
      </w:r>
      <w:r>
        <w:rPr/>
        <w:t>regulační kódy pro zastavitelné plochy a plochy přestavby v případech, kdy převládají specifické podmínky nad prostorotvornými,  a pro nezastavitelné plochy (plochy změn      v krajině) se uvádějí pouze s pozicemi 1. a 2. (označení a</w:t>
      </w:r>
      <w:r>
        <w:rPr>
          <w:spacing w:val="-14"/>
        </w:rPr>
        <w:t> </w:t>
      </w:r>
      <w:r>
        <w:rPr/>
        <w:t>funkce).</w:t>
      </w:r>
    </w:p>
    <w:p>
      <w:pPr>
        <w:pStyle w:val="ListParagraph"/>
        <w:numPr>
          <w:ilvl w:val="0"/>
          <w:numId w:val="1"/>
        </w:numPr>
        <w:tabs>
          <w:tab w:pos="1024" w:val="left" w:leader="none"/>
          <w:tab w:pos="1025" w:val="left" w:leader="none"/>
        </w:tabs>
        <w:spacing w:line="240" w:lineRule="auto" w:before="121" w:after="0"/>
        <w:ind w:left="1024" w:right="0" w:hanging="853"/>
        <w:jc w:val="both"/>
        <w:rPr>
          <w:sz w:val="22"/>
        </w:rPr>
      </w:pPr>
      <w:r>
        <w:rPr>
          <w:sz w:val="22"/>
        </w:rPr>
        <w:t>Regulační kódy pro stabilizované plochy se definují ve</w:t>
      </w:r>
      <w:r>
        <w:rPr>
          <w:spacing w:val="-15"/>
          <w:sz w:val="22"/>
        </w:rPr>
        <w:t> </w:t>
      </w:r>
      <w:r>
        <w:rPr>
          <w:sz w:val="22"/>
        </w:rPr>
        <w:t>tvaru:</w:t>
      </w:r>
    </w:p>
    <w:p>
      <w:pPr>
        <w:pStyle w:val="Heading1"/>
      </w:pPr>
      <w:r>
        <w:rPr/>
        <w:drawing>
          <wp:anchor distT="0" distB="0" distL="0" distR="0" allowOverlap="1" layoutInCell="1" locked="0" behindDoc="1" simplePos="0" relativeHeight="483678720">
            <wp:simplePos x="0" y="0"/>
            <wp:positionH relativeFrom="page">
              <wp:posOffset>1328928</wp:posOffset>
            </wp:positionH>
            <wp:positionV relativeFrom="paragraph">
              <wp:posOffset>334508</wp:posOffset>
            </wp:positionV>
            <wp:extent cx="76200" cy="117348"/>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20" cstate="print"/>
                    <a:stretch>
                      <a:fillRect/>
                    </a:stretch>
                  </pic:blipFill>
                  <pic:spPr>
                    <a:xfrm>
                      <a:off x="0" y="0"/>
                      <a:ext cx="76200" cy="117348"/>
                    </a:xfrm>
                    <a:prstGeom prst="rect">
                      <a:avLst/>
                    </a:prstGeom>
                  </pic:spPr>
                </pic:pic>
              </a:graphicData>
            </a:graphic>
          </wp:anchor>
        </w:drawing>
      </w:r>
      <w:r>
        <w:rPr/>
        <w:drawing>
          <wp:anchor distT="0" distB="0" distL="0" distR="0" allowOverlap="1" layoutInCell="1" locked="0" behindDoc="1" simplePos="0" relativeHeight="483679232">
            <wp:simplePos x="0" y="0"/>
            <wp:positionH relativeFrom="page">
              <wp:posOffset>1563624</wp:posOffset>
            </wp:positionH>
            <wp:positionV relativeFrom="paragraph">
              <wp:posOffset>334508</wp:posOffset>
            </wp:positionV>
            <wp:extent cx="76200" cy="117348"/>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21" cstate="print"/>
                    <a:stretch>
                      <a:fillRect/>
                    </a:stretch>
                  </pic:blipFill>
                  <pic:spPr>
                    <a:xfrm>
                      <a:off x="0" y="0"/>
                      <a:ext cx="76200" cy="117348"/>
                    </a:xfrm>
                    <a:prstGeom prst="rect">
                      <a:avLst/>
                    </a:prstGeom>
                  </pic:spPr>
                </pic:pic>
              </a:graphicData>
            </a:graphic>
          </wp:anchor>
        </w:drawing>
      </w:r>
      <w:r>
        <w:rPr/>
        <w:t>O.2</w:t>
      </w:r>
    </w:p>
    <w:p>
      <w:pPr>
        <w:tabs>
          <w:tab w:pos="1555" w:val="left" w:leader="none"/>
        </w:tabs>
        <w:spacing w:before="124"/>
        <w:ind w:left="172" w:right="0" w:firstLine="0"/>
        <w:jc w:val="left"/>
        <w:rPr>
          <w:sz w:val="18"/>
        </w:rPr>
      </w:pPr>
      <w:r>
        <w:rPr>
          <w:sz w:val="18"/>
        </w:rPr>
        <w:t>funkce</w:t>
        <w:tab/>
        <w:t>výšková hladina v metrech</w:t>
      </w:r>
    </w:p>
    <w:p>
      <w:pPr>
        <w:pStyle w:val="ListParagraph"/>
        <w:numPr>
          <w:ilvl w:val="0"/>
          <w:numId w:val="2"/>
        </w:numPr>
        <w:tabs>
          <w:tab w:pos="1024" w:val="left" w:leader="none"/>
          <w:tab w:pos="1025" w:val="left" w:leader="none"/>
        </w:tabs>
        <w:spacing w:line="240" w:lineRule="auto" w:before="17" w:after="0"/>
        <w:ind w:left="1024" w:right="0" w:hanging="853"/>
        <w:jc w:val="both"/>
        <w:rPr>
          <w:sz w:val="22"/>
        </w:rPr>
      </w:pPr>
      <w:r>
        <w:rPr>
          <w:sz w:val="22"/>
        </w:rPr>
        <w:t>1. pozice (A-Z) označuje funkci plochy s rozdílným způsobem</w:t>
      </w:r>
      <w:r>
        <w:rPr>
          <w:spacing w:val="-9"/>
          <w:sz w:val="22"/>
        </w:rPr>
        <w:t> </w:t>
      </w:r>
      <w:r>
        <w:rPr>
          <w:sz w:val="22"/>
        </w:rPr>
        <w:t>využití,</w:t>
      </w:r>
    </w:p>
    <w:p>
      <w:pPr>
        <w:pStyle w:val="ListParagraph"/>
        <w:numPr>
          <w:ilvl w:val="0"/>
          <w:numId w:val="2"/>
        </w:numPr>
        <w:tabs>
          <w:tab w:pos="1024" w:val="left" w:leader="none"/>
          <w:tab w:pos="1025" w:val="left" w:leader="none"/>
        </w:tabs>
        <w:spacing w:line="240" w:lineRule="auto" w:before="19" w:after="0"/>
        <w:ind w:left="1024" w:right="0" w:hanging="853"/>
        <w:jc w:val="left"/>
        <w:rPr>
          <w:sz w:val="22"/>
        </w:rPr>
      </w:pPr>
      <w:r>
        <w:rPr>
          <w:sz w:val="22"/>
        </w:rPr>
        <w:t>2. pozice (0-30) označuje výškovou hladinu </w:t>
      </w:r>
      <w:r>
        <w:rPr>
          <w:spacing w:val="-4"/>
          <w:sz w:val="22"/>
        </w:rPr>
        <w:t>zástavby, </w:t>
      </w:r>
      <w:r>
        <w:rPr>
          <w:sz w:val="22"/>
        </w:rPr>
        <w:t>pokud je to</w:t>
      </w:r>
      <w:r>
        <w:rPr>
          <w:spacing w:val="-4"/>
          <w:sz w:val="22"/>
        </w:rPr>
        <w:t> </w:t>
      </w:r>
      <w:r>
        <w:rPr>
          <w:sz w:val="22"/>
        </w:rPr>
        <w:t>smysluplné</w:t>
      </w:r>
    </w:p>
    <w:p>
      <w:pPr>
        <w:pStyle w:val="ListParagraph"/>
        <w:numPr>
          <w:ilvl w:val="0"/>
          <w:numId w:val="1"/>
        </w:numPr>
        <w:tabs>
          <w:tab w:pos="1024" w:val="left" w:leader="none"/>
          <w:tab w:pos="1025" w:val="left" w:leader="none"/>
        </w:tabs>
        <w:spacing w:line="242" w:lineRule="auto" w:before="140" w:after="0"/>
        <w:ind w:left="1024" w:right="146" w:hanging="852"/>
        <w:jc w:val="both"/>
        <w:rPr>
          <w:sz w:val="22"/>
        </w:rPr>
      </w:pPr>
      <w:r>
        <w:rPr>
          <w:b/>
          <w:sz w:val="22"/>
        </w:rPr>
        <w:t>Výšková hladina zástavby </w:t>
      </w:r>
      <w:r>
        <w:rPr>
          <w:sz w:val="22"/>
        </w:rPr>
        <w:t>nesmí překročit stanovenou maximální hodnotu v metrech, přičemž z této hodnoty 6 m je určeno pouze pro zahrnutí rozdílu mezi nejnižším a nejvyšším místem napojení na svažitý terén resp. přípustnost využitelných zakončujících podlaží</w:t>
      </w:r>
      <w:r>
        <w:rPr>
          <w:spacing w:val="-4"/>
          <w:sz w:val="22"/>
        </w:rPr>
        <w:t> </w:t>
      </w:r>
      <w:r>
        <w:rPr>
          <w:sz w:val="22"/>
        </w:rPr>
        <w:t>(„podkroví“)</w:t>
      </w:r>
    </w:p>
    <w:p>
      <w:pPr>
        <w:pStyle w:val="ListParagraph"/>
        <w:numPr>
          <w:ilvl w:val="0"/>
          <w:numId w:val="2"/>
        </w:numPr>
        <w:tabs>
          <w:tab w:pos="1024" w:val="left" w:leader="none"/>
          <w:tab w:pos="1025" w:val="left" w:leader="none"/>
        </w:tabs>
        <w:spacing w:line="240" w:lineRule="auto" w:before="34" w:after="0"/>
        <w:ind w:left="1024" w:right="146" w:hanging="853"/>
        <w:jc w:val="both"/>
        <w:rPr>
          <w:sz w:val="22"/>
        </w:rPr>
      </w:pPr>
      <w:r>
        <w:rPr>
          <w:sz w:val="22"/>
        </w:rPr>
        <w:t>výšková hladina zástavby v metrech se definuje jako největší rozdíl mezi nadmořskou výškou  nejvyššího  bodu  hlavní  hmoty  stavby  a  nejnižšího  bodu  stavby  v  kontaktu  s </w:t>
      </w:r>
      <w:r>
        <w:rPr>
          <w:b/>
          <w:sz w:val="22"/>
        </w:rPr>
        <w:t>terénem </w:t>
      </w:r>
      <w:r>
        <w:rPr>
          <w:sz w:val="22"/>
        </w:rPr>
        <w:t>– nezohledňují se vstupy a vjezdy do podzemních podlaží a anglické</w:t>
      </w:r>
      <w:r>
        <w:rPr>
          <w:spacing w:val="-33"/>
          <w:sz w:val="22"/>
        </w:rPr>
        <w:t> </w:t>
      </w:r>
      <w:r>
        <w:rPr>
          <w:sz w:val="22"/>
        </w:rPr>
        <w:t>dvorky,</w:t>
      </w:r>
    </w:p>
    <w:p>
      <w:pPr>
        <w:spacing w:after="0" w:line="240" w:lineRule="auto"/>
        <w:jc w:val="both"/>
        <w:rPr>
          <w:sz w:val="22"/>
        </w:rPr>
        <w:sectPr>
          <w:pgSz w:w="11900" w:h="16840"/>
          <w:pgMar w:header="561" w:footer="582" w:top="760" w:bottom="780" w:left="960" w:right="980"/>
        </w:sectPr>
      </w:pPr>
    </w:p>
    <w:p>
      <w:pPr>
        <w:pStyle w:val="BodyText"/>
        <w:spacing w:before="5"/>
        <w:ind w:left="0" w:firstLine="0"/>
        <w:jc w:val="left"/>
        <w:rPr>
          <w:sz w:val="21"/>
        </w:rPr>
      </w:pPr>
    </w:p>
    <w:p>
      <w:pPr>
        <w:pStyle w:val="ListParagraph"/>
        <w:numPr>
          <w:ilvl w:val="0"/>
          <w:numId w:val="2"/>
        </w:numPr>
        <w:tabs>
          <w:tab w:pos="1024" w:val="left" w:leader="none"/>
          <w:tab w:pos="1025" w:val="left" w:leader="none"/>
        </w:tabs>
        <w:spacing w:line="240" w:lineRule="auto" w:before="115" w:after="0"/>
        <w:ind w:left="1024" w:right="144" w:hanging="852"/>
        <w:jc w:val="both"/>
        <w:rPr>
          <w:sz w:val="22"/>
        </w:rPr>
      </w:pPr>
      <w:r>
        <w:rPr>
          <w:sz w:val="22"/>
        </w:rPr>
        <w:t>nepřipouští se </w:t>
      </w:r>
      <w:r>
        <w:rPr>
          <w:b/>
          <w:sz w:val="22"/>
        </w:rPr>
        <w:t>spekulativní úpravy </w:t>
      </w:r>
      <w:r>
        <w:rPr>
          <w:sz w:val="22"/>
        </w:rPr>
        <w:t>terénu za účelem formálního snížení absolutní výšky stavby,</w:t>
      </w:r>
    </w:p>
    <w:p>
      <w:pPr>
        <w:pStyle w:val="ListParagraph"/>
        <w:numPr>
          <w:ilvl w:val="0"/>
          <w:numId w:val="2"/>
        </w:numPr>
        <w:tabs>
          <w:tab w:pos="1024" w:val="left" w:leader="none"/>
          <w:tab w:pos="1025" w:val="left" w:leader="none"/>
        </w:tabs>
        <w:spacing w:line="240" w:lineRule="auto" w:before="40" w:after="0"/>
        <w:ind w:left="1024" w:right="145" w:hanging="853"/>
        <w:jc w:val="both"/>
        <w:rPr>
          <w:sz w:val="22"/>
        </w:rPr>
      </w:pPr>
      <w:r>
        <w:rPr>
          <w:sz w:val="22"/>
        </w:rPr>
        <w:t>stanovená výšková hladina zástavby může být překročena v případě umístění </w:t>
      </w:r>
      <w:r>
        <w:rPr>
          <w:b/>
          <w:sz w:val="22"/>
        </w:rPr>
        <w:t>technologických zařízení </w:t>
      </w:r>
      <w:r>
        <w:rPr>
          <w:sz w:val="22"/>
        </w:rPr>
        <w:t>v souladu s ostatními ustanoveními ÚP a obecně závazných předpisů, pokud slouží bezprostředně k zajištění hlavního využití dané stavby a podstatou funkčnosti zařízení je jeho výška - komíny, stožáry,</w:t>
      </w:r>
      <w:r>
        <w:rPr>
          <w:spacing w:val="-6"/>
          <w:sz w:val="22"/>
        </w:rPr>
        <w:t> </w:t>
      </w:r>
      <w:r>
        <w:rPr>
          <w:sz w:val="22"/>
        </w:rPr>
        <w:t>výtahy.</w:t>
      </w:r>
    </w:p>
    <w:p>
      <w:pPr>
        <w:pStyle w:val="ListParagraph"/>
        <w:numPr>
          <w:ilvl w:val="0"/>
          <w:numId w:val="1"/>
        </w:numPr>
        <w:tabs>
          <w:tab w:pos="1024" w:val="left" w:leader="none"/>
          <w:tab w:pos="1025" w:val="left" w:leader="none"/>
        </w:tabs>
        <w:spacing w:line="240" w:lineRule="auto" w:before="141" w:after="0"/>
        <w:ind w:left="1024" w:right="146" w:hanging="852"/>
        <w:jc w:val="both"/>
        <w:rPr>
          <w:sz w:val="22"/>
        </w:rPr>
      </w:pPr>
      <w:r>
        <w:rPr>
          <w:sz w:val="22"/>
        </w:rPr>
        <w:t>Nově navržené stavby mohou překročit </w:t>
      </w:r>
      <w:r>
        <w:rPr>
          <w:b/>
          <w:sz w:val="22"/>
        </w:rPr>
        <w:t>výškovou hladinu stávající zástavby </w:t>
      </w:r>
      <w:r>
        <w:rPr>
          <w:sz w:val="22"/>
        </w:rPr>
        <w:t>maximálně o 3 m, pokud nebude v územní studii ověřeno jiné řešení, přitom platí nejvýše výšková hladina stanovená regulačním kódem pro danou</w:t>
      </w:r>
      <w:r>
        <w:rPr>
          <w:spacing w:val="-3"/>
          <w:sz w:val="22"/>
        </w:rPr>
        <w:t> </w:t>
      </w:r>
      <w:r>
        <w:rPr>
          <w:sz w:val="22"/>
        </w:rPr>
        <w:t>plochu,</w:t>
      </w:r>
    </w:p>
    <w:p>
      <w:pPr>
        <w:pStyle w:val="ListParagraph"/>
        <w:numPr>
          <w:ilvl w:val="0"/>
          <w:numId w:val="2"/>
        </w:numPr>
        <w:tabs>
          <w:tab w:pos="1024" w:val="left" w:leader="none"/>
          <w:tab w:pos="1025" w:val="left" w:leader="none"/>
        </w:tabs>
        <w:spacing w:line="240" w:lineRule="auto" w:before="62" w:after="0"/>
        <w:ind w:left="1024" w:right="146" w:hanging="852"/>
        <w:jc w:val="both"/>
        <w:rPr>
          <w:sz w:val="22"/>
        </w:rPr>
      </w:pPr>
      <w:r>
        <w:rPr>
          <w:sz w:val="22"/>
        </w:rPr>
        <w:t>výšková  hladina   stávající  zástavby  je   dána  výškou   stávajících   objektů   v metrech v prostoru vymezeném kolem jejich půdorysu do vzdálenosti dvojnásobku jejich výšky, v překryvu takto vymezených prostorů více sousedících objektů platí vyšší</w:t>
      </w:r>
      <w:r>
        <w:rPr>
          <w:spacing w:val="-15"/>
          <w:sz w:val="22"/>
        </w:rPr>
        <w:t> </w:t>
      </w:r>
      <w:r>
        <w:rPr>
          <w:sz w:val="22"/>
        </w:rPr>
        <w:t>výška.</w:t>
      </w:r>
    </w:p>
    <w:p>
      <w:pPr>
        <w:pStyle w:val="ListParagraph"/>
        <w:numPr>
          <w:ilvl w:val="0"/>
          <w:numId w:val="1"/>
        </w:numPr>
        <w:tabs>
          <w:tab w:pos="1024" w:val="left" w:leader="none"/>
          <w:tab w:pos="1025" w:val="left" w:leader="none"/>
        </w:tabs>
        <w:spacing w:line="240" w:lineRule="auto" w:before="140" w:after="0"/>
        <w:ind w:left="1024" w:right="146" w:hanging="852"/>
        <w:jc w:val="both"/>
        <w:rPr>
          <w:sz w:val="22"/>
        </w:rPr>
      </w:pPr>
      <w:r>
        <w:rPr>
          <w:b/>
          <w:sz w:val="22"/>
        </w:rPr>
        <w:t>Výškové dominanty </w:t>
      </w:r>
      <w:r>
        <w:rPr>
          <w:sz w:val="22"/>
        </w:rPr>
        <w:t>nad rámec stanoveného regulačního kódu jsou přípustné, pokud budou zdůvodněny celkovou koncepcí ověřenou ve schválené územní studii, která vyloučí nahodilé narušení charakteru širšího</w:t>
      </w:r>
      <w:r>
        <w:rPr>
          <w:spacing w:val="-6"/>
          <w:sz w:val="22"/>
        </w:rPr>
        <w:t> </w:t>
      </w:r>
      <w:r>
        <w:rPr>
          <w:sz w:val="22"/>
        </w:rPr>
        <w:t>území.</w:t>
      </w:r>
    </w:p>
    <w:p>
      <w:pPr>
        <w:pStyle w:val="ListParagraph"/>
        <w:numPr>
          <w:ilvl w:val="0"/>
          <w:numId w:val="1"/>
        </w:numPr>
        <w:tabs>
          <w:tab w:pos="1024" w:val="left" w:leader="none"/>
          <w:tab w:pos="1025" w:val="left" w:leader="none"/>
        </w:tabs>
        <w:spacing w:line="242" w:lineRule="auto" w:before="144" w:after="0"/>
        <w:ind w:left="1024" w:right="146" w:hanging="852"/>
        <w:jc w:val="both"/>
        <w:rPr>
          <w:sz w:val="22"/>
        </w:rPr>
      </w:pPr>
      <w:r>
        <w:rPr>
          <w:b/>
          <w:sz w:val="22"/>
        </w:rPr>
        <w:t>Kn </w:t>
      </w:r>
      <w:r>
        <w:rPr>
          <w:sz w:val="22"/>
        </w:rPr>
        <w:t>- koeficient zastavění nadzemními stavbami je poměr výměry všech částí příslušné plochy, které mohou být zastavěny nadzemními stavbami, ku celkové výměře plochy x 100</w:t>
      </w:r>
      <w:r>
        <w:rPr>
          <w:spacing w:val="-1"/>
          <w:sz w:val="22"/>
        </w:rPr>
        <w:t> </w:t>
      </w:r>
      <w:r>
        <w:rPr>
          <w:sz w:val="22"/>
        </w:rPr>
        <w:t>(%),</w:t>
      </w:r>
    </w:p>
    <w:p>
      <w:pPr>
        <w:pStyle w:val="ListParagraph"/>
        <w:numPr>
          <w:ilvl w:val="0"/>
          <w:numId w:val="2"/>
        </w:numPr>
        <w:tabs>
          <w:tab w:pos="1024" w:val="left" w:leader="none"/>
          <w:tab w:pos="1025" w:val="left" w:leader="none"/>
        </w:tabs>
        <w:spacing w:line="240" w:lineRule="auto" w:before="57" w:after="0"/>
        <w:ind w:left="1024" w:right="145" w:hanging="852"/>
        <w:jc w:val="both"/>
        <w:rPr>
          <w:sz w:val="22"/>
        </w:rPr>
      </w:pPr>
      <w:r>
        <w:rPr>
          <w:sz w:val="22"/>
        </w:rPr>
        <w:t>nadzemní části staveb se do Kn nezapočítají v případě jejich úplného zakrytí upraveným terénem, který plynule navazuje na rostlý terén nebo sousedící nadzemní </w:t>
      </w:r>
      <w:r>
        <w:rPr>
          <w:spacing w:val="-5"/>
          <w:sz w:val="22"/>
        </w:rPr>
        <w:t>stavby, </w:t>
      </w:r>
      <w:r>
        <w:rPr>
          <w:sz w:val="22"/>
        </w:rPr>
        <w:t>připouští se nutné umístění vstupů a</w:t>
      </w:r>
      <w:r>
        <w:rPr>
          <w:spacing w:val="-5"/>
          <w:sz w:val="22"/>
        </w:rPr>
        <w:t> </w:t>
      </w:r>
      <w:r>
        <w:rPr>
          <w:sz w:val="22"/>
        </w:rPr>
        <w:t>vjezdů,</w:t>
      </w:r>
    </w:p>
    <w:p>
      <w:pPr>
        <w:pStyle w:val="ListParagraph"/>
        <w:numPr>
          <w:ilvl w:val="0"/>
          <w:numId w:val="2"/>
        </w:numPr>
        <w:tabs>
          <w:tab w:pos="1024" w:val="left" w:leader="none"/>
          <w:tab w:pos="1025" w:val="left" w:leader="none"/>
        </w:tabs>
        <w:spacing w:line="240" w:lineRule="auto" w:before="58" w:after="0"/>
        <w:ind w:left="1024" w:right="145" w:hanging="852"/>
        <w:jc w:val="both"/>
        <w:rPr>
          <w:sz w:val="22"/>
        </w:rPr>
      </w:pPr>
      <w:r>
        <w:rPr>
          <w:sz w:val="22"/>
        </w:rPr>
        <w:t>do výměry všech částí příslušné plochy, které mohou být zastavěny nadzemními stavbami dle Kn, se započítává i výměra nadzemních staveb, jejichž výstavba je umožněna na základě § 79 odst. 2 stavebního zákona (např. samostatné garáže, </w:t>
      </w:r>
      <w:r>
        <w:rPr>
          <w:spacing w:val="-4"/>
          <w:sz w:val="22"/>
        </w:rPr>
        <w:t>kůlny,</w:t>
      </w:r>
      <w:r>
        <w:rPr>
          <w:spacing w:val="53"/>
          <w:sz w:val="22"/>
        </w:rPr>
        <w:t> </w:t>
      </w:r>
      <w:r>
        <w:rPr>
          <w:spacing w:val="-4"/>
          <w:sz w:val="22"/>
        </w:rPr>
        <w:t>bazény, </w:t>
      </w:r>
      <w:r>
        <w:rPr>
          <w:spacing w:val="-3"/>
          <w:sz w:val="22"/>
        </w:rPr>
        <w:t>skleníky,</w:t>
      </w:r>
      <w:r>
        <w:rPr>
          <w:spacing w:val="1"/>
          <w:sz w:val="22"/>
        </w:rPr>
        <w:t> </w:t>
      </w:r>
      <w:r>
        <w:rPr>
          <w:sz w:val="22"/>
        </w:rPr>
        <w:t>přístřešky,…).</w:t>
      </w:r>
    </w:p>
    <w:p>
      <w:pPr>
        <w:pStyle w:val="ListParagraph"/>
        <w:numPr>
          <w:ilvl w:val="0"/>
          <w:numId w:val="1"/>
        </w:numPr>
        <w:tabs>
          <w:tab w:pos="1024" w:val="left" w:leader="none"/>
          <w:tab w:pos="1025" w:val="left" w:leader="none"/>
        </w:tabs>
        <w:spacing w:line="244" w:lineRule="auto" w:before="139" w:after="0"/>
        <w:ind w:left="1024" w:right="147" w:hanging="852"/>
        <w:jc w:val="both"/>
        <w:rPr>
          <w:sz w:val="22"/>
        </w:rPr>
      </w:pPr>
      <w:r>
        <w:rPr>
          <w:b/>
          <w:sz w:val="22"/>
        </w:rPr>
        <w:t>Kz </w:t>
      </w:r>
      <w:r>
        <w:rPr>
          <w:sz w:val="22"/>
        </w:rPr>
        <w:t>- koeficient zeleně je poměr výměry všech částí příslušné </w:t>
      </w:r>
      <w:r>
        <w:rPr>
          <w:spacing w:val="-3"/>
          <w:sz w:val="22"/>
        </w:rPr>
        <w:t>plochy, </w:t>
      </w:r>
      <w:r>
        <w:rPr>
          <w:sz w:val="22"/>
        </w:rPr>
        <w:t>které musí být tvořeny zelení, ku celkové výměře plochy x 100</w:t>
      </w:r>
      <w:r>
        <w:rPr>
          <w:spacing w:val="-7"/>
          <w:sz w:val="22"/>
        </w:rPr>
        <w:t> </w:t>
      </w:r>
      <w:r>
        <w:rPr>
          <w:sz w:val="22"/>
        </w:rPr>
        <w:t>(%),</w:t>
      </w:r>
    </w:p>
    <w:p>
      <w:pPr>
        <w:pStyle w:val="ListParagraph"/>
        <w:numPr>
          <w:ilvl w:val="0"/>
          <w:numId w:val="2"/>
        </w:numPr>
        <w:tabs>
          <w:tab w:pos="1024" w:val="left" w:leader="none"/>
          <w:tab w:pos="1025" w:val="left" w:leader="none"/>
        </w:tabs>
        <w:spacing w:line="240" w:lineRule="auto" w:before="53" w:after="0"/>
        <w:ind w:left="1024" w:right="144" w:hanging="853"/>
        <w:jc w:val="both"/>
        <w:rPr>
          <w:sz w:val="22"/>
        </w:rPr>
      </w:pPr>
      <w:r>
        <w:rPr>
          <w:sz w:val="22"/>
        </w:rPr>
        <w:t>zeleň musí tvořit tu část </w:t>
      </w:r>
      <w:r>
        <w:rPr>
          <w:spacing w:val="-4"/>
          <w:sz w:val="22"/>
        </w:rPr>
        <w:t>plochy,</w:t>
      </w:r>
      <w:r>
        <w:rPr>
          <w:spacing w:val="53"/>
          <w:sz w:val="22"/>
        </w:rPr>
        <w:t> </w:t>
      </w:r>
      <w:r>
        <w:rPr>
          <w:sz w:val="22"/>
        </w:rPr>
        <w:t>která není zastavěna nadzemními stavbami ani zpevněnými komunikacemi, na zeleni se nepřipouští umístěné žádných staveb, které by znehodnotily</w:t>
      </w:r>
      <w:r>
        <w:rPr>
          <w:spacing w:val="-7"/>
          <w:sz w:val="22"/>
        </w:rPr>
        <w:t> </w:t>
      </w:r>
      <w:r>
        <w:rPr>
          <w:sz w:val="22"/>
        </w:rPr>
        <w:t>její</w:t>
      </w:r>
      <w:r>
        <w:rPr>
          <w:spacing w:val="-7"/>
          <w:sz w:val="22"/>
        </w:rPr>
        <w:t> </w:t>
      </w:r>
      <w:r>
        <w:rPr>
          <w:sz w:val="22"/>
        </w:rPr>
        <w:t>přírodní</w:t>
      </w:r>
      <w:r>
        <w:rPr>
          <w:spacing w:val="-5"/>
          <w:sz w:val="22"/>
        </w:rPr>
        <w:t> </w:t>
      </w:r>
      <w:r>
        <w:rPr>
          <w:sz w:val="22"/>
        </w:rPr>
        <w:t>charakter,</w:t>
      </w:r>
      <w:r>
        <w:rPr>
          <w:spacing w:val="-5"/>
          <w:sz w:val="22"/>
        </w:rPr>
        <w:t> </w:t>
      </w:r>
      <w:r>
        <w:rPr>
          <w:sz w:val="22"/>
        </w:rPr>
        <w:t>zejména</w:t>
      </w:r>
      <w:r>
        <w:rPr>
          <w:spacing w:val="-7"/>
          <w:sz w:val="22"/>
        </w:rPr>
        <w:t> </w:t>
      </w:r>
      <w:r>
        <w:rPr>
          <w:sz w:val="22"/>
        </w:rPr>
        <w:t>energetických</w:t>
      </w:r>
      <w:r>
        <w:rPr>
          <w:spacing w:val="-4"/>
          <w:sz w:val="22"/>
        </w:rPr>
        <w:t> </w:t>
      </w:r>
      <w:r>
        <w:rPr>
          <w:sz w:val="22"/>
        </w:rPr>
        <w:t>zařízení</w:t>
      </w:r>
      <w:r>
        <w:rPr>
          <w:spacing w:val="-7"/>
          <w:sz w:val="22"/>
        </w:rPr>
        <w:t> </w:t>
      </w:r>
      <w:r>
        <w:rPr>
          <w:sz w:val="22"/>
        </w:rPr>
        <w:t>obnovitelných</w:t>
      </w:r>
      <w:r>
        <w:rPr>
          <w:spacing w:val="-5"/>
          <w:sz w:val="22"/>
        </w:rPr>
        <w:t> </w:t>
      </w:r>
      <w:r>
        <w:rPr>
          <w:sz w:val="22"/>
        </w:rPr>
        <w:t>zdrojů.</w:t>
      </w:r>
    </w:p>
    <w:p>
      <w:pPr>
        <w:pStyle w:val="ListParagraph"/>
        <w:numPr>
          <w:ilvl w:val="0"/>
          <w:numId w:val="1"/>
        </w:numPr>
        <w:tabs>
          <w:tab w:pos="1024" w:val="left" w:leader="none"/>
          <w:tab w:pos="1025" w:val="left" w:leader="none"/>
        </w:tabs>
        <w:spacing w:line="240" w:lineRule="auto" w:before="140" w:after="0"/>
        <w:ind w:left="1024" w:right="145" w:hanging="852"/>
        <w:jc w:val="both"/>
        <w:rPr>
          <w:sz w:val="22"/>
        </w:rPr>
      </w:pPr>
      <w:r>
        <w:rPr>
          <w:sz w:val="22"/>
        </w:rPr>
        <w:t>Při dělení </w:t>
      </w:r>
      <w:r>
        <w:rPr>
          <w:b/>
          <w:sz w:val="22"/>
        </w:rPr>
        <w:t>rozvojových </w:t>
      </w:r>
      <w:r>
        <w:rPr>
          <w:sz w:val="22"/>
        </w:rPr>
        <w:t>ploch na jednotlivé </w:t>
      </w:r>
      <w:r>
        <w:rPr>
          <w:b/>
          <w:sz w:val="22"/>
        </w:rPr>
        <w:t>stavební pozemky </w:t>
      </w:r>
      <w:r>
        <w:rPr>
          <w:sz w:val="22"/>
        </w:rPr>
        <w:t>bude pro stanovení intenzity využití pozemků v plochách Kn a Kz uplatňován přiměřeně s přihlédnutím k jejich specifickému charakteru (rozmístění veřejných prostranství a zeleně, dopravní a technické infrastruktury,…) a  jejich  umístění  na  ploše  (střed,  okraj,  nároží,…),  nebo  k urbanistické struktuře nově stanovené pro celou plochu podrobnější</w:t>
      </w:r>
      <w:r>
        <w:rPr>
          <w:spacing w:val="-20"/>
          <w:sz w:val="22"/>
        </w:rPr>
        <w:t> </w:t>
      </w:r>
      <w:r>
        <w:rPr>
          <w:sz w:val="22"/>
        </w:rPr>
        <w:t>dokumentací.</w:t>
      </w:r>
    </w:p>
    <w:p>
      <w:pPr>
        <w:pStyle w:val="ListParagraph"/>
        <w:numPr>
          <w:ilvl w:val="0"/>
          <w:numId w:val="1"/>
        </w:numPr>
        <w:tabs>
          <w:tab w:pos="1024" w:val="left" w:leader="none"/>
          <w:tab w:pos="1025" w:val="left" w:leader="none"/>
        </w:tabs>
        <w:spacing w:line="240" w:lineRule="auto" w:before="144" w:after="0"/>
        <w:ind w:left="1024" w:right="146" w:hanging="852"/>
        <w:jc w:val="both"/>
        <w:rPr>
          <w:sz w:val="22"/>
        </w:rPr>
      </w:pPr>
      <w:r>
        <w:rPr>
          <w:sz w:val="22"/>
        </w:rPr>
        <w:t>Při výstavbě na </w:t>
      </w:r>
      <w:r>
        <w:rPr>
          <w:b/>
          <w:sz w:val="22"/>
        </w:rPr>
        <w:t>stabilizovaných </w:t>
      </w:r>
      <w:r>
        <w:rPr>
          <w:sz w:val="22"/>
        </w:rPr>
        <w:t>plochách bude Kn a Kz uplatňován pouze vzhledem      k dané  ploše,   stanovení   intenzity   využití   pozemků   v plochách   bude   prováděno   s přihlédnutím ke stávající urbanistické struktuře plochy (intenzita stávající zástavby jednotlivých pozemků, rozmístění veřejných prostranství a zeleně,…) nebo k urbanistické struktuře nově stanovené pro celou plochu podrobnější</w:t>
      </w:r>
      <w:r>
        <w:rPr>
          <w:spacing w:val="-11"/>
          <w:sz w:val="22"/>
        </w:rPr>
        <w:t> </w:t>
      </w:r>
      <w:r>
        <w:rPr>
          <w:sz w:val="22"/>
        </w:rPr>
        <w:t>dokumentací.</w:t>
      </w:r>
    </w:p>
    <w:p>
      <w:pPr>
        <w:pStyle w:val="ListParagraph"/>
        <w:numPr>
          <w:ilvl w:val="0"/>
          <w:numId w:val="1"/>
        </w:numPr>
        <w:tabs>
          <w:tab w:pos="1024" w:val="left" w:leader="none"/>
          <w:tab w:pos="1025" w:val="left" w:leader="none"/>
        </w:tabs>
        <w:spacing w:line="242" w:lineRule="auto" w:before="144" w:after="0"/>
        <w:ind w:left="1024" w:right="145" w:hanging="852"/>
        <w:jc w:val="both"/>
        <w:rPr>
          <w:sz w:val="22"/>
        </w:rPr>
      </w:pPr>
      <w:r>
        <w:rPr>
          <w:sz w:val="22"/>
        </w:rPr>
        <w:t>Předepsané hodnoty výšky a Kn jsou </w:t>
      </w:r>
      <w:r>
        <w:rPr>
          <w:b/>
          <w:sz w:val="22"/>
        </w:rPr>
        <w:t>maximální povolené</w:t>
      </w:r>
      <w:r>
        <w:rPr>
          <w:sz w:val="22"/>
        </w:rPr>
        <w:t>, na jejich dosažení není právní nárok, mohou být sníženy v dalších fázích projektové přípravy na základě vyhodnocení vlivu limitů využití</w:t>
      </w:r>
      <w:r>
        <w:rPr>
          <w:spacing w:val="-6"/>
          <w:sz w:val="22"/>
        </w:rPr>
        <w:t> </w:t>
      </w:r>
      <w:r>
        <w:rPr>
          <w:sz w:val="22"/>
        </w:rPr>
        <w:t>území,</w:t>
      </w:r>
    </w:p>
    <w:p>
      <w:pPr>
        <w:pStyle w:val="ListParagraph"/>
        <w:numPr>
          <w:ilvl w:val="0"/>
          <w:numId w:val="2"/>
        </w:numPr>
        <w:tabs>
          <w:tab w:pos="1024" w:val="left" w:leader="none"/>
          <w:tab w:pos="1025" w:val="left" w:leader="none"/>
        </w:tabs>
        <w:spacing w:line="240" w:lineRule="auto" w:before="35" w:after="0"/>
        <w:ind w:left="1024" w:right="146" w:hanging="853"/>
        <w:jc w:val="both"/>
        <w:rPr>
          <w:sz w:val="22"/>
        </w:rPr>
      </w:pPr>
      <w:r>
        <w:rPr>
          <w:sz w:val="22"/>
        </w:rPr>
        <w:t>předepsané hodnoty výšky a Kn zároveň </w:t>
      </w:r>
      <w:r>
        <w:rPr>
          <w:b/>
          <w:sz w:val="22"/>
        </w:rPr>
        <w:t>definují prostorovou strukturu </w:t>
      </w:r>
      <w:r>
        <w:rPr>
          <w:sz w:val="22"/>
        </w:rPr>
        <w:t>území a jejich naplnění může být k dosažení její optimální podoby v dalších fázích projekční přípravy vyžadováno.</w:t>
      </w:r>
    </w:p>
    <w:p>
      <w:pPr>
        <w:pStyle w:val="ListParagraph"/>
        <w:numPr>
          <w:ilvl w:val="0"/>
          <w:numId w:val="1"/>
        </w:numPr>
        <w:tabs>
          <w:tab w:pos="1024" w:val="left" w:leader="none"/>
          <w:tab w:pos="1025" w:val="left" w:leader="none"/>
        </w:tabs>
        <w:spacing w:line="240" w:lineRule="auto" w:before="142" w:after="0"/>
        <w:ind w:left="1024" w:right="146" w:hanging="852"/>
        <w:jc w:val="both"/>
        <w:rPr>
          <w:sz w:val="22"/>
        </w:rPr>
      </w:pPr>
      <w:r>
        <w:rPr>
          <w:b/>
          <w:sz w:val="22"/>
        </w:rPr>
        <w:t>Prostorové uspořádání </w:t>
      </w:r>
      <w:r>
        <w:rPr>
          <w:sz w:val="22"/>
        </w:rPr>
        <w:t>stávajících staveb na plochách stabilizovaných překračující některé hodnoty regulačního kódu dané plochy může být zachováno i při stavebních úpravách, přitom se nesmí překročení těchto hodnot</w:t>
      </w:r>
      <w:r>
        <w:rPr>
          <w:spacing w:val="-9"/>
          <w:sz w:val="22"/>
        </w:rPr>
        <w:t> </w:t>
      </w:r>
      <w:r>
        <w:rPr>
          <w:sz w:val="22"/>
        </w:rPr>
        <w:t>zvyšovat,</w:t>
      </w:r>
    </w:p>
    <w:p>
      <w:pPr>
        <w:pStyle w:val="ListParagraph"/>
        <w:numPr>
          <w:ilvl w:val="0"/>
          <w:numId w:val="2"/>
        </w:numPr>
        <w:tabs>
          <w:tab w:pos="1024" w:val="left" w:leader="none"/>
          <w:tab w:pos="1025" w:val="left" w:leader="none"/>
        </w:tabs>
        <w:spacing w:line="240" w:lineRule="auto" w:before="43" w:after="0"/>
        <w:ind w:left="1024" w:right="146" w:hanging="852"/>
        <w:jc w:val="both"/>
        <w:rPr>
          <w:sz w:val="22"/>
        </w:rPr>
      </w:pPr>
      <w:r>
        <w:rPr>
          <w:sz w:val="22"/>
        </w:rPr>
        <w:t>v případě demolice se náhrada novostavbami bude již řídit regulačním kódem dané </w:t>
      </w:r>
      <w:r>
        <w:rPr>
          <w:spacing w:val="-4"/>
          <w:sz w:val="22"/>
        </w:rPr>
        <w:t>plochy.</w:t>
      </w:r>
    </w:p>
    <w:p>
      <w:pPr>
        <w:spacing w:after="0" w:line="240" w:lineRule="auto"/>
        <w:jc w:val="both"/>
        <w:rPr>
          <w:sz w:val="22"/>
        </w:rPr>
        <w:sectPr>
          <w:pgSz w:w="11900" w:h="16840"/>
          <w:pgMar w:header="561" w:footer="582" w:top="760" w:bottom="780" w:left="960" w:right="980"/>
        </w:sectPr>
      </w:pPr>
    </w:p>
    <w:p>
      <w:pPr>
        <w:pStyle w:val="BodyText"/>
        <w:spacing w:before="4"/>
        <w:ind w:left="0" w:firstLine="0"/>
        <w:jc w:val="left"/>
      </w:pPr>
    </w:p>
    <w:p>
      <w:pPr>
        <w:pStyle w:val="ListParagraph"/>
        <w:numPr>
          <w:ilvl w:val="0"/>
          <w:numId w:val="1"/>
        </w:numPr>
        <w:tabs>
          <w:tab w:pos="1024" w:val="left" w:leader="none"/>
          <w:tab w:pos="1025" w:val="left" w:leader="none"/>
        </w:tabs>
        <w:spacing w:line="242" w:lineRule="auto" w:before="102" w:after="0"/>
        <w:ind w:left="1024" w:right="146" w:hanging="852"/>
        <w:jc w:val="both"/>
        <w:rPr>
          <w:sz w:val="22"/>
        </w:rPr>
      </w:pPr>
      <w:r>
        <w:rPr>
          <w:b/>
          <w:sz w:val="22"/>
        </w:rPr>
        <w:t>Prostorové uspořádání </w:t>
      </w:r>
      <w:r>
        <w:rPr>
          <w:sz w:val="22"/>
        </w:rPr>
        <w:t>stávajících staveb na plochách změn překračující některé hodnoty regulačního kódu dané plochy může být zachováno pouze při stavební údržbě, pokud:</w:t>
      </w:r>
    </w:p>
    <w:p>
      <w:pPr>
        <w:pStyle w:val="ListParagraph"/>
        <w:numPr>
          <w:ilvl w:val="0"/>
          <w:numId w:val="2"/>
        </w:numPr>
        <w:tabs>
          <w:tab w:pos="1024" w:val="left" w:leader="none"/>
          <w:tab w:pos="1025" w:val="left" w:leader="none"/>
        </w:tabs>
        <w:spacing w:line="240" w:lineRule="auto" w:before="37" w:after="0"/>
        <w:ind w:left="1024" w:right="146" w:hanging="852"/>
        <w:jc w:val="both"/>
        <w:rPr>
          <w:sz w:val="22"/>
        </w:rPr>
      </w:pPr>
      <w:r>
        <w:rPr>
          <w:sz w:val="22"/>
        </w:rPr>
        <w:t>nedochází k potenciálnímu znehodnocení navrženého využití dané plochy a ploch navazujících ve smyslu hygienických a dalších předpisů a celkové prostorové</w:t>
      </w:r>
      <w:r>
        <w:rPr>
          <w:spacing w:val="-24"/>
          <w:sz w:val="22"/>
        </w:rPr>
        <w:t> </w:t>
      </w:r>
      <w:r>
        <w:rPr>
          <w:sz w:val="22"/>
        </w:rPr>
        <w:t>struktury,</w:t>
      </w:r>
    </w:p>
    <w:p>
      <w:pPr>
        <w:pStyle w:val="ListParagraph"/>
        <w:numPr>
          <w:ilvl w:val="0"/>
          <w:numId w:val="2"/>
        </w:numPr>
        <w:tabs>
          <w:tab w:pos="1024" w:val="left" w:leader="none"/>
          <w:tab w:pos="1025" w:val="left" w:leader="none"/>
        </w:tabs>
        <w:spacing w:line="240" w:lineRule="auto" w:before="38" w:after="0"/>
        <w:ind w:left="1024" w:right="147" w:hanging="852"/>
        <w:jc w:val="both"/>
        <w:rPr>
          <w:sz w:val="22"/>
        </w:rPr>
      </w:pPr>
      <w:r>
        <w:rPr>
          <w:sz w:val="22"/>
        </w:rPr>
        <w:t>nedochází k narušování celistvosti a funkčnosti nezastavitelných ploch, krajinného rázu, protierozní ochrany a odtokových</w:t>
      </w:r>
      <w:r>
        <w:rPr>
          <w:spacing w:val="-6"/>
          <w:sz w:val="22"/>
        </w:rPr>
        <w:t> </w:t>
      </w:r>
      <w:r>
        <w:rPr>
          <w:sz w:val="22"/>
        </w:rPr>
        <w:t>poměrů.</w:t>
      </w:r>
    </w:p>
    <w:p>
      <w:pPr>
        <w:pStyle w:val="ListParagraph"/>
        <w:numPr>
          <w:ilvl w:val="0"/>
          <w:numId w:val="1"/>
        </w:numPr>
        <w:tabs>
          <w:tab w:pos="1024" w:val="left" w:leader="none"/>
          <w:tab w:pos="1025" w:val="left" w:leader="none"/>
        </w:tabs>
        <w:spacing w:line="240" w:lineRule="auto" w:before="117" w:after="0"/>
        <w:ind w:left="1024" w:right="147" w:hanging="852"/>
        <w:jc w:val="both"/>
        <w:rPr>
          <w:sz w:val="22"/>
        </w:rPr>
      </w:pPr>
      <w:r>
        <w:rPr>
          <w:b/>
          <w:sz w:val="22"/>
        </w:rPr>
        <w:t>Charakter a struktura nové zástavby </w:t>
      </w:r>
      <w:r>
        <w:rPr>
          <w:sz w:val="22"/>
        </w:rPr>
        <w:t>na stabilizovaných i zastavitelných plochách bude respektovat charakter a strukturu stávající nebo navazující zástavby (bloková, solitérní, městská, venkovská, …) pokud nebude odpovídajícím způsobem (např. územní studií) prokázáno jiné vhodnější</w:t>
      </w:r>
      <w:r>
        <w:rPr>
          <w:spacing w:val="-4"/>
          <w:sz w:val="22"/>
        </w:rPr>
        <w:t> </w:t>
      </w:r>
      <w:r>
        <w:rPr>
          <w:sz w:val="22"/>
        </w:rPr>
        <w:t>řešení.</w:t>
      </w:r>
    </w:p>
    <w:p>
      <w:pPr>
        <w:pStyle w:val="ListParagraph"/>
        <w:numPr>
          <w:ilvl w:val="0"/>
          <w:numId w:val="1"/>
        </w:numPr>
        <w:tabs>
          <w:tab w:pos="1024" w:val="left" w:leader="none"/>
          <w:tab w:pos="1025" w:val="left" w:leader="none"/>
        </w:tabs>
        <w:spacing w:line="242" w:lineRule="auto" w:before="119" w:after="0"/>
        <w:ind w:left="1024" w:right="143" w:hanging="852"/>
        <w:jc w:val="both"/>
        <w:rPr>
          <w:sz w:val="22"/>
        </w:rPr>
      </w:pPr>
      <w:r>
        <w:rPr>
          <w:b/>
          <w:sz w:val="22"/>
        </w:rPr>
        <w:t>Stavební pozemky </w:t>
      </w:r>
      <w:r>
        <w:rPr>
          <w:sz w:val="22"/>
        </w:rPr>
        <w:t>se vždy vymezují tak, aby svou polohou, velikostí a uspořádáním umožňovaly využití pro navrhovaný účel a byly napojeny na veřejně přístupné pozemní komunikace vč. vyřešení normových kapacit odstavných a parkovacích stání a na rozvody technické infrastruktury vč. nakládání s odpady, odpadními a dešťovými</w:t>
      </w:r>
      <w:r>
        <w:rPr>
          <w:spacing w:val="-12"/>
          <w:sz w:val="22"/>
        </w:rPr>
        <w:t> </w:t>
      </w:r>
      <w:r>
        <w:rPr>
          <w:sz w:val="22"/>
        </w:rPr>
        <w:t>vodami,</w:t>
      </w:r>
    </w:p>
    <w:p>
      <w:pPr>
        <w:pStyle w:val="ListParagraph"/>
        <w:numPr>
          <w:ilvl w:val="0"/>
          <w:numId w:val="2"/>
        </w:numPr>
        <w:tabs>
          <w:tab w:pos="1024" w:val="left" w:leader="none"/>
          <w:tab w:pos="1025" w:val="left" w:leader="none"/>
        </w:tabs>
        <w:spacing w:line="240" w:lineRule="auto" w:before="34" w:after="0"/>
        <w:ind w:left="1024" w:right="0" w:hanging="853"/>
        <w:jc w:val="both"/>
        <w:rPr>
          <w:sz w:val="22"/>
        </w:rPr>
      </w:pPr>
      <w:r>
        <w:rPr>
          <w:sz w:val="22"/>
        </w:rPr>
        <w:t>rozmezí výměry pro vymezování stavebních pozemků se</w:t>
      </w:r>
      <w:r>
        <w:rPr>
          <w:spacing w:val="-14"/>
          <w:sz w:val="22"/>
        </w:rPr>
        <w:t> </w:t>
      </w:r>
      <w:r>
        <w:rPr>
          <w:sz w:val="22"/>
        </w:rPr>
        <w:t>nestanoví,</w:t>
      </w:r>
    </w:p>
    <w:p>
      <w:pPr>
        <w:pStyle w:val="ListParagraph"/>
        <w:numPr>
          <w:ilvl w:val="0"/>
          <w:numId w:val="2"/>
        </w:numPr>
        <w:tabs>
          <w:tab w:pos="1024" w:val="left" w:leader="none"/>
          <w:tab w:pos="1025" w:val="left" w:leader="none"/>
        </w:tabs>
        <w:spacing w:line="240" w:lineRule="auto" w:before="38" w:after="0"/>
        <w:ind w:left="1024" w:right="146" w:hanging="852"/>
        <w:jc w:val="both"/>
        <w:rPr>
          <w:sz w:val="22"/>
        </w:rPr>
      </w:pPr>
      <w:r>
        <w:rPr>
          <w:sz w:val="22"/>
        </w:rPr>
        <w:t>za účelem zajištění rozptýlené stavební struktury v okrajových částech města může být počet objektů resp. bytů na ploše upřesněn na základě podmínek pro využití ploch uvedených v tabulkách kapitoly „C.2 Návrh zastavitelných ploch, ploch přestavby a nezastavitelných ploch“ návrhu</w:t>
      </w:r>
      <w:r>
        <w:rPr>
          <w:spacing w:val="-2"/>
          <w:sz w:val="22"/>
        </w:rPr>
        <w:t> </w:t>
      </w:r>
      <w:r>
        <w:rPr>
          <w:sz w:val="22"/>
        </w:rPr>
        <w:t>ÚP:</w:t>
      </w:r>
    </w:p>
    <w:p>
      <w:pPr>
        <w:pStyle w:val="ListParagraph"/>
        <w:numPr>
          <w:ilvl w:val="0"/>
          <w:numId w:val="2"/>
        </w:numPr>
        <w:tabs>
          <w:tab w:pos="1024" w:val="left" w:leader="none"/>
          <w:tab w:pos="1025" w:val="left" w:leader="none"/>
        </w:tabs>
        <w:spacing w:line="240" w:lineRule="auto" w:before="36" w:after="0"/>
        <w:ind w:left="1024" w:right="146" w:hanging="853"/>
        <w:jc w:val="both"/>
        <w:rPr>
          <w:sz w:val="22"/>
        </w:rPr>
      </w:pPr>
      <w:r>
        <w:rPr>
          <w:sz w:val="22"/>
        </w:rPr>
        <w:t>„</w:t>
      </w:r>
      <w:r>
        <w:rPr>
          <w:b/>
          <w:sz w:val="22"/>
        </w:rPr>
        <w:t>1ST </w:t>
      </w:r>
      <w:r>
        <w:rPr>
          <w:sz w:val="22"/>
        </w:rPr>
        <w:t>- plocha umožňuje umístění limitovaného počtu staveb hlavního resp. přípustného využití“.</w:t>
      </w:r>
    </w:p>
    <w:p>
      <w:pPr>
        <w:pStyle w:val="ListParagraph"/>
        <w:numPr>
          <w:ilvl w:val="0"/>
          <w:numId w:val="1"/>
        </w:numPr>
        <w:tabs>
          <w:tab w:pos="1024" w:val="left" w:leader="none"/>
          <w:tab w:pos="1025" w:val="left" w:leader="none"/>
        </w:tabs>
        <w:spacing w:line="240" w:lineRule="auto" w:before="144" w:after="0"/>
        <w:ind w:left="1024" w:right="146" w:hanging="852"/>
        <w:jc w:val="both"/>
        <w:rPr>
          <w:sz w:val="22"/>
        </w:rPr>
      </w:pPr>
      <w:r>
        <w:rPr>
          <w:sz w:val="22"/>
        </w:rPr>
        <w:t>V k.ú. </w:t>
      </w:r>
      <w:r>
        <w:rPr>
          <w:b/>
          <w:sz w:val="22"/>
        </w:rPr>
        <w:t>Andělská Hora u Chrastavy </w:t>
      </w:r>
      <w:r>
        <w:rPr>
          <w:sz w:val="22"/>
        </w:rPr>
        <w:t>na plochách bydlení (B) za účelem zvláštní ochrany krajinného rázu tohoto území ležícího uvnitř Přírodního parku Ještěd uplatňovat na novostavby, rekonstrukce i přístavby zvláštní prostorové</w:t>
      </w:r>
      <w:r>
        <w:rPr>
          <w:spacing w:val="-5"/>
          <w:sz w:val="22"/>
        </w:rPr>
        <w:t> </w:t>
      </w:r>
      <w:r>
        <w:rPr>
          <w:sz w:val="22"/>
        </w:rPr>
        <w:t>regulativy:</w:t>
      </w:r>
    </w:p>
    <w:p>
      <w:pPr>
        <w:pStyle w:val="ListParagraph"/>
        <w:numPr>
          <w:ilvl w:val="0"/>
          <w:numId w:val="2"/>
        </w:numPr>
        <w:tabs>
          <w:tab w:pos="1024" w:val="left" w:leader="none"/>
          <w:tab w:pos="1025" w:val="left" w:leader="none"/>
        </w:tabs>
        <w:spacing w:line="240" w:lineRule="auto" w:before="43" w:after="0"/>
        <w:ind w:left="1024" w:right="0" w:hanging="853"/>
        <w:jc w:val="both"/>
        <w:rPr>
          <w:sz w:val="22"/>
        </w:rPr>
      </w:pPr>
      <w:r>
        <w:rPr>
          <w:sz w:val="22"/>
        </w:rPr>
        <w:t>nepřípustnost využití pro rekreační</w:t>
      </w:r>
      <w:r>
        <w:rPr>
          <w:spacing w:val="-5"/>
          <w:sz w:val="22"/>
        </w:rPr>
        <w:t> </w:t>
      </w:r>
      <w:r>
        <w:rPr>
          <w:sz w:val="22"/>
        </w:rPr>
        <w:t>chaty,</w:t>
      </w:r>
    </w:p>
    <w:p>
      <w:pPr>
        <w:pStyle w:val="ListParagraph"/>
        <w:numPr>
          <w:ilvl w:val="0"/>
          <w:numId w:val="2"/>
        </w:numPr>
        <w:tabs>
          <w:tab w:pos="1024" w:val="left" w:leader="none"/>
          <w:tab w:pos="1025" w:val="left" w:leader="none"/>
        </w:tabs>
        <w:spacing w:line="240" w:lineRule="auto" w:before="38" w:after="0"/>
        <w:ind w:left="1024" w:right="0" w:hanging="853"/>
        <w:jc w:val="both"/>
        <w:rPr>
          <w:sz w:val="22"/>
        </w:rPr>
      </w:pPr>
      <w:r>
        <w:rPr>
          <w:sz w:val="22"/>
        </w:rPr>
        <w:t>minimální vzdálenost mezi objekty RD vč. hospodářských přístaveb 20 m (kromě</w:t>
      </w:r>
      <w:r>
        <w:rPr>
          <w:spacing w:val="-24"/>
          <w:sz w:val="22"/>
        </w:rPr>
        <w:t> </w:t>
      </w:r>
      <w:r>
        <w:rPr>
          <w:sz w:val="22"/>
        </w:rPr>
        <w:t>návsi),</w:t>
      </w:r>
    </w:p>
    <w:p>
      <w:pPr>
        <w:pStyle w:val="ListParagraph"/>
        <w:numPr>
          <w:ilvl w:val="0"/>
          <w:numId w:val="2"/>
        </w:numPr>
        <w:tabs>
          <w:tab w:pos="1024" w:val="left" w:leader="none"/>
          <w:tab w:pos="1025" w:val="left" w:leader="none"/>
        </w:tabs>
        <w:spacing w:line="240" w:lineRule="auto" w:before="39" w:after="0"/>
        <w:ind w:left="1024" w:right="0" w:hanging="853"/>
        <w:jc w:val="both"/>
        <w:rPr>
          <w:sz w:val="22"/>
        </w:rPr>
      </w:pPr>
      <w:r>
        <w:rPr>
          <w:sz w:val="22"/>
        </w:rPr>
        <w:t>minimální poměr stran půdorysu objektu RD</w:t>
      </w:r>
      <w:r>
        <w:rPr>
          <w:spacing w:val="-5"/>
          <w:sz w:val="22"/>
        </w:rPr>
        <w:t> </w:t>
      </w:r>
      <w:r>
        <w:rPr>
          <w:sz w:val="22"/>
        </w:rPr>
        <w:t>1,5,</w:t>
      </w:r>
    </w:p>
    <w:p>
      <w:pPr>
        <w:pStyle w:val="ListParagraph"/>
        <w:numPr>
          <w:ilvl w:val="0"/>
          <w:numId w:val="2"/>
        </w:numPr>
        <w:tabs>
          <w:tab w:pos="1024" w:val="left" w:leader="none"/>
          <w:tab w:pos="1025" w:val="left" w:leader="none"/>
        </w:tabs>
        <w:spacing w:line="240" w:lineRule="auto" w:before="39" w:after="0"/>
        <w:ind w:left="1024" w:right="0" w:hanging="853"/>
        <w:jc w:val="both"/>
        <w:rPr>
          <w:sz w:val="22"/>
        </w:rPr>
      </w:pPr>
      <w:r>
        <w:rPr>
          <w:sz w:val="22"/>
        </w:rPr>
        <w:t>střecha sedlová s orientací hřebene podél vrstevnic se sklonem 40 – 45° (kromě</w:t>
      </w:r>
      <w:r>
        <w:rPr>
          <w:spacing w:val="-27"/>
          <w:sz w:val="22"/>
        </w:rPr>
        <w:t> </w:t>
      </w:r>
      <w:r>
        <w:rPr>
          <w:sz w:val="22"/>
        </w:rPr>
        <w:t>návsi),</w:t>
      </w:r>
    </w:p>
    <w:p>
      <w:pPr>
        <w:pStyle w:val="ListParagraph"/>
        <w:numPr>
          <w:ilvl w:val="0"/>
          <w:numId w:val="2"/>
        </w:numPr>
        <w:tabs>
          <w:tab w:pos="1024" w:val="left" w:leader="none"/>
          <w:tab w:pos="1025" w:val="left" w:leader="none"/>
        </w:tabs>
        <w:spacing w:line="240" w:lineRule="auto" w:before="39" w:after="0"/>
        <w:ind w:left="1024" w:right="144" w:hanging="852"/>
        <w:jc w:val="both"/>
        <w:rPr>
          <w:sz w:val="22"/>
        </w:rPr>
      </w:pPr>
      <w:r>
        <w:rPr>
          <w:sz w:val="22"/>
        </w:rPr>
        <w:t>užití přírodních stavebních materiálů a historizujících architektonických prvků tak, aby vnější výraz objektů byl blízký v daném místě převažující původní</w:t>
      </w:r>
      <w:r>
        <w:rPr>
          <w:spacing w:val="-19"/>
          <w:sz w:val="22"/>
        </w:rPr>
        <w:t> </w:t>
      </w:r>
      <w:r>
        <w:rPr>
          <w:sz w:val="22"/>
        </w:rPr>
        <w:t>zástavbě</w:t>
      </w:r>
    </w:p>
    <w:p>
      <w:pPr>
        <w:spacing w:after="0" w:line="240" w:lineRule="auto"/>
        <w:jc w:val="both"/>
        <w:rPr>
          <w:sz w:val="22"/>
        </w:rPr>
        <w:sectPr>
          <w:pgSz w:w="11900" w:h="16840"/>
          <w:pgMar w:header="561" w:footer="582" w:top="760" w:bottom="780" w:left="960" w:right="980"/>
        </w:sectPr>
      </w:pPr>
    </w:p>
    <w:p>
      <w:pPr>
        <w:pStyle w:val="BodyText"/>
        <w:ind w:left="0" w:firstLine="0"/>
        <w:jc w:val="left"/>
        <w:rPr>
          <w:sz w:val="20"/>
        </w:rPr>
      </w:pPr>
    </w:p>
    <w:p>
      <w:pPr>
        <w:pStyle w:val="BodyText"/>
        <w:spacing w:after="1"/>
        <w:ind w:left="0" w:firstLine="0"/>
        <w:jc w:val="left"/>
        <w:rPr>
          <w:sz w:val="11"/>
        </w:rPr>
      </w:pPr>
    </w:p>
    <w:p>
      <w:pPr>
        <w:pStyle w:val="BodyText"/>
        <w:ind w:left="144" w:firstLine="0"/>
        <w:jc w:val="left"/>
        <w:rPr>
          <w:sz w:val="20"/>
        </w:rPr>
      </w:pPr>
      <w:r>
        <w:rPr>
          <w:sz w:val="20"/>
        </w:rPr>
        <w:pict>
          <v:group style="width:484.7pt;height:45.05pt;mso-position-horizontal-relative:char;mso-position-vertical-relative:line" coordorigin="0,0" coordsize="9694,901">
            <v:shape style="position:absolute;left:0;top:2;width:9694;height:898" coordorigin="0,3" coordsize="9694,898" path="m9694,3l0,3,0,303,0,603,0,900,9694,900,9694,603,9694,303,9694,3xe" filled="true" fillcolor="#32cccc" stroked="false">
              <v:path arrowok="t"/>
              <v:fill type="solid"/>
            </v:shape>
            <v:shape style="position:absolute;left:28;top:0;width:294;height:300" type="#_x0000_t202" filled="false" stroked="false">
              <v:textbox inset="0,0,0,0">
                <w:txbxContent>
                  <w:p>
                    <w:pPr>
                      <w:spacing w:line="298" w:lineRule="exact" w:before="0"/>
                      <w:ind w:left="0" w:right="0" w:firstLine="0"/>
                      <w:jc w:val="left"/>
                      <w:rPr>
                        <w:b/>
                        <w:sz w:val="26"/>
                      </w:rPr>
                    </w:pPr>
                    <w:r>
                      <w:rPr>
                        <w:b/>
                        <w:sz w:val="26"/>
                      </w:rPr>
                      <w:t>G.</w:t>
                    </w:r>
                  </w:p>
                </w:txbxContent>
              </v:textbox>
              <w10:wrap type="none"/>
            </v:shape>
            <v:shape style="position:absolute;left:880;top:0;width:8756;height:900" type="#_x0000_t202" filled="false" stroked="false">
              <v:textbox inset="0,0,0,0">
                <w:txbxContent>
                  <w:p>
                    <w:pPr>
                      <w:spacing w:before="0"/>
                      <w:ind w:left="0" w:right="-5" w:firstLine="0"/>
                      <w:jc w:val="left"/>
                      <w:rPr>
                        <w:b/>
                        <w:sz w:val="26"/>
                      </w:rPr>
                    </w:pPr>
                    <w:r>
                      <w:rPr>
                        <w:b/>
                        <w:sz w:val="26"/>
                      </w:rPr>
                      <w:t>VYMEZENÍ VPS, VPO, STAVEB A OPATŘENÍ K ZAJIŠŤOVÁNÍ OBRANY A BEZPEČNOSTI STÁTU A PLOCH PRO ASANACI, PRO KTERÉ LZE PRÁVA K POZEMKŮM A STAVBÁM VYVLASTNIT</w:t>
                    </w:r>
                  </w:p>
                </w:txbxContent>
              </v:textbox>
              <w10:wrap type="none"/>
            </v:shape>
          </v:group>
        </w:pict>
      </w:r>
      <w:r>
        <w:rPr>
          <w:sz w:val="20"/>
        </w:rPr>
      </w:r>
    </w:p>
    <w:p>
      <w:pPr>
        <w:pStyle w:val="ListParagraph"/>
        <w:numPr>
          <w:ilvl w:val="0"/>
          <w:numId w:val="1"/>
        </w:numPr>
        <w:tabs>
          <w:tab w:pos="1024" w:val="left" w:leader="none"/>
          <w:tab w:pos="1025" w:val="left" w:leader="none"/>
        </w:tabs>
        <w:spacing w:line="240" w:lineRule="auto" w:before="15" w:after="0"/>
        <w:ind w:left="1024" w:right="146" w:hanging="852"/>
        <w:jc w:val="both"/>
        <w:rPr>
          <w:sz w:val="22"/>
        </w:rPr>
      </w:pPr>
      <w:r>
        <w:rPr>
          <w:b/>
          <w:sz w:val="22"/>
        </w:rPr>
        <w:t>Veřejně prospěšné stavby </w:t>
      </w:r>
      <w:r>
        <w:rPr>
          <w:sz w:val="22"/>
        </w:rPr>
        <w:t>(VPS), </w:t>
      </w:r>
      <w:r>
        <w:rPr>
          <w:b/>
          <w:sz w:val="22"/>
        </w:rPr>
        <w:t>veřejně prospěšná opatření </w:t>
      </w:r>
      <w:r>
        <w:rPr>
          <w:sz w:val="22"/>
        </w:rPr>
        <w:t>(VPO), stavby a opatření k zajišťování obrany a bezpečnosti státu a ploch pro asanaci pro které lze práva k pozemkům a stavbám vyvlastnit, se vymezují ve Výkresu veřejně prospěšných staveb, opatření a asanací (4) a v následujícím</w:t>
      </w:r>
      <w:r>
        <w:rPr>
          <w:spacing w:val="-10"/>
          <w:sz w:val="22"/>
        </w:rPr>
        <w:t> </w:t>
      </w:r>
      <w:r>
        <w:rPr>
          <w:sz w:val="22"/>
        </w:rPr>
        <w:t>výčtu:</w:t>
      </w:r>
    </w:p>
    <w:p>
      <w:pPr>
        <w:tabs>
          <w:tab w:pos="1024" w:val="left" w:leader="none"/>
        </w:tabs>
        <w:spacing w:before="180" w:after="6"/>
        <w:ind w:left="172" w:right="0" w:firstLine="0"/>
        <w:jc w:val="left"/>
        <w:rPr>
          <w:b/>
          <w:sz w:val="18"/>
        </w:rPr>
      </w:pPr>
      <w:r>
        <w:rPr>
          <w:b/>
          <w:sz w:val="18"/>
        </w:rPr>
        <w:t>Tab.:</w:t>
        <w:tab/>
        <w:t>Veřejně prospěšné stavby dopravní</w:t>
      </w:r>
      <w:r>
        <w:rPr>
          <w:b/>
          <w:spacing w:val="-6"/>
          <w:sz w:val="18"/>
        </w:rPr>
        <w:t> </w:t>
      </w:r>
      <w:r>
        <w:rPr>
          <w:b/>
          <w:sz w:val="18"/>
        </w:rPr>
        <w:t>infrastruktury</w:t>
      </w: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7"/>
        <w:gridCol w:w="6094"/>
        <w:gridCol w:w="2268"/>
      </w:tblGrid>
      <w:tr>
        <w:trPr>
          <w:trHeight w:val="304" w:hRule="atLeast"/>
        </w:trPr>
        <w:tc>
          <w:tcPr>
            <w:tcW w:w="1277" w:type="dxa"/>
            <w:shd w:val="clear" w:color="auto" w:fill="CCFFFF"/>
          </w:tcPr>
          <w:p>
            <w:pPr>
              <w:pStyle w:val="TableParagraph"/>
              <w:spacing w:before="51"/>
              <w:ind w:left="71"/>
              <w:rPr>
                <w:b/>
                <w:sz w:val="18"/>
              </w:rPr>
            </w:pPr>
            <w:r>
              <w:rPr>
                <w:b/>
                <w:sz w:val="18"/>
              </w:rPr>
              <w:t>VPS číslo</w:t>
            </w:r>
          </w:p>
        </w:tc>
        <w:tc>
          <w:tcPr>
            <w:tcW w:w="6094" w:type="dxa"/>
            <w:shd w:val="clear" w:color="auto" w:fill="CCFFFF"/>
          </w:tcPr>
          <w:p>
            <w:pPr>
              <w:pStyle w:val="TableParagraph"/>
              <w:spacing w:before="51"/>
              <w:ind w:left="71"/>
              <w:rPr>
                <w:b/>
                <w:sz w:val="18"/>
              </w:rPr>
            </w:pPr>
            <w:r>
              <w:rPr>
                <w:b/>
                <w:sz w:val="18"/>
              </w:rPr>
              <w:t>umístění / účel</w:t>
            </w:r>
          </w:p>
        </w:tc>
        <w:tc>
          <w:tcPr>
            <w:tcW w:w="2268" w:type="dxa"/>
            <w:shd w:val="clear" w:color="auto" w:fill="CCFFFF"/>
          </w:tcPr>
          <w:p>
            <w:pPr>
              <w:pStyle w:val="TableParagraph"/>
              <w:spacing w:before="51"/>
              <w:ind w:left="692"/>
              <w:rPr>
                <w:b/>
                <w:sz w:val="18"/>
              </w:rPr>
            </w:pPr>
            <w:r>
              <w:rPr>
                <w:b/>
                <w:sz w:val="18"/>
              </w:rPr>
              <w:t>poznámka</w:t>
            </w:r>
          </w:p>
        </w:tc>
      </w:tr>
      <w:tr>
        <w:trPr>
          <w:trHeight w:val="205" w:hRule="atLeast"/>
        </w:trPr>
        <w:tc>
          <w:tcPr>
            <w:tcW w:w="1277" w:type="dxa"/>
          </w:tcPr>
          <w:p>
            <w:pPr>
              <w:pStyle w:val="TableParagraph"/>
              <w:spacing w:line="186" w:lineRule="exact"/>
              <w:rPr>
                <w:sz w:val="18"/>
              </w:rPr>
            </w:pPr>
            <w:r>
              <w:rPr>
                <w:sz w:val="18"/>
              </w:rPr>
              <w:t>2.M</w:t>
            </w:r>
          </w:p>
        </w:tc>
        <w:tc>
          <w:tcPr>
            <w:tcW w:w="6094" w:type="dxa"/>
          </w:tcPr>
          <w:p>
            <w:pPr>
              <w:pStyle w:val="TableParagraph"/>
              <w:spacing w:line="186" w:lineRule="exact"/>
              <w:rPr>
                <w:sz w:val="18"/>
              </w:rPr>
            </w:pPr>
            <w:r>
              <w:rPr>
                <w:sz w:val="18"/>
              </w:rPr>
              <w:t>Liberecká – Frýdlantská - východní obchvat centra silnicí III/27250</w:t>
            </w:r>
          </w:p>
        </w:tc>
        <w:tc>
          <w:tcPr>
            <w:tcW w:w="2268" w:type="dxa"/>
          </w:tcPr>
          <w:p>
            <w:pPr>
              <w:pStyle w:val="TableParagraph"/>
              <w:ind w:left="0"/>
              <w:rPr>
                <w:rFonts w:ascii="Times New Roman"/>
                <w:sz w:val="14"/>
              </w:rPr>
            </w:pPr>
          </w:p>
        </w:tc>
      </w:tr>
      <w:tr>
        <w:trPr>
          <w:trHeight w:val="205" w:hRule="atLeast"/>
        </w:trPr>
        <w:tc>
          <w:tcPr>
            <w:tcW w:w="1277" w:type="dxa"/>
          </w:tcPr>
          <w:p>
            <w:pPr>
              <w:pStyle w:val="TableParagraph"/>
              <w:spacing w:line="186" w:lineRule="exact"/>
              <w:rPr>
                <w:sz w:val="18"/>
              </w:rPr>
            </w:pPr>
            <w:r>
              <w:rPr>
                <w:sz w:val="18"/>
              </w:rPr>
              <w:t>6.G</w:t>
            </w:r>
          </w:p>
        </w:tc>
        <w:tc>
          <w:tcPr>
            <w:tcW w:w="6094" w:type="dxa"/>
          </w:tcPr>
          <w:p>
            <w:pPr>
              <w:pStyle w:val="TableParagraph"/>
              <w:spacing w:line="186" w:lineRule="exact"/>
              <w:rPr>
                <w:sz w:val="18"/>
              </w:rPr>
            </w:pPr>
            <w:r>
              <w:rPr>
                <w:sz w:val="18"/>
              </w:rPr>
              <w:t>Pobřežní – záchytné parkoviště pro městské centrum na II/592</w:t>
            </w:r>
          </w:p>
        </w:tc>
        <w:tc>
          <w:tcPr>
            <w:tcW w:w="2268" w:type="dxa"/>
          </w:tcPr>
          <w:p>
            <w:pPr>
              <w:pStyle w:val="TableParagraph"/>
              <w:ind w:left="0"/>
              <w:rPr>
                <w:rFonts w:ascii="Times New Roman"/>
                <w:sz w:val="14"/>
              </w:rPr>
            </w:pPr>
          </w:p>
        </w:tc>
      </w:tr>
      <w:tr>
        <w:trPr>
          <w:trHeight w:val="208" w:hRule="atLeast"/>
        </w:trPr>
        <w:tc>
          <w:tcPr>
            <w:tcW w:w="1277" w:type="dxa"/>
          </w:tcPr>
          <w:p>
            <w:pPr>
              <w:pStyle w:val="TableParagraph"/>
              <w:spacing w:line="188" w:lineRule="exact"/>
              <w:rPr>
                <w:sz w:val="18"/>
              </w:rPr>
            </w:pPr>
            <w:r>
              <w:rPr>
                <w:sz w:val="18"/>
              </w:rPr>
              <w:t>111.F</w:t>
            </w:r>
          </w:p>
        </w:tc>
        <w:tc>
          <w:tcPr>
            <w:tcW w:w="6094" w:type="dxa"/>
          </w:tcPr>
          <w:p>
            <w:pPr>
              <w:pStyle w:val="TableParagraph"/>
              <w:spacing w:line="188" w:lineRule="exact"/>
              <w:rPr>
                <w:sz w:val="18"/>
              </w:rPr>
            </w:pPr>
            <w:r>
              <w:rPr>
                <w:sz w:val="18"/>
              </w:rPr>
              <w:t>Vysoká – legalizace agroletiště</w:t>
            </w:r>
          </w:p>
        </w:tc>
        <w:tc>
          <w:tcPr>
            <w:tcW w:w="2268" w:type="dxa"/>
          </w:tcPr>
          <w:p>
            <w:pPr>
              <w:pStyle w:val="TableParagraph"/>
              <w:ind w:left="0"/>
              <w:rPr>
                <w:rFonts w:ascii="Times New Roman"/>
                <w:sz w:val="14"/>
              </w:rPr>
            </w:pPr>
          </w:p>
        </w:tc>
      </w:tr>
    </w:tbl>
    <w:p>
      <w:pPr>
        <w:tabs>
          <w:tab w:pos="1024" w:val="left" w:leader="none"/>
        </w:tabs>
        <w:spacing w:before="174" w:after="5"/>
        <w:ind w:left="172" w:right="0" w:firstLine="0"/>
        <w:jc w:val="left"/>
        <w:rPr>
          <w:sz w:val="18"/>
        </w:rPr>
      </w:pPr>
      <w:r>
        <w:rPr>
          <w:b/>
          <w:sz w:val="18"/>
        </w:rPr>
        <w:t>Tab.:</w:t>
        <w:tab/>
        <w:t>Veřejně prospěšné stavby dopravní infrastruktury </w:t>
      </w:r>
      <w:r>
        <w:rPr>
          <w:sz w:val="18"/>
        </w:rPr>
        <w:t>(zpřesnění koridorů ZÚR</w:t>
      </w:r>
      <w:r>
        <w:rPr>
          <w:spacing w:val="-19"/>
          <w:sz w:val="18"/>
        </w:rPr>
        <w:t> </w:t>
      </w:r>
      <w:r>
        <w:rPr>
          <w:sz w:val="18"/>
        </w:rPr>
        <w:t>LK)</w:t>
      </w: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7"/>
        <w:gridCol w:w="6094"/>
        <w:gridCol w:w="2268"/>
      </w:tblGrid>
      <w:tr>
        <w:trPr>
          <w:trHeight w:val="304" w:hRule="atLeast"/>
        </w:trPr>
        <w:tc>
          <w:tcPr>
            <w:tcW w:w="1277" w:type="dxa"/>
            <w:shd w:val="clear" w:color="auto" w:fill="CCFFFF"/>
          </w:tcPr>
          <w:p>
            <w:pPr>
              <w:pStyle w:val="TableParagraph"/>
              <w:spacing w:before="51"/>
              <w:ind w:left="71"/>
              <w:rPr>
                <w:b/>
                <w:sz w:val="18"/>
              </w:rPr>
            </w:pPr>
            <w:r>
              <w:rPr>
                <w:b/>
                <w:sz w:val="18"/>
              </w:rPr>
              <w:t>VPS číslo</w:t>
            </w:r>
          </w:p>
        </w:tc>
        <w:tc>
          <w:tcPr>
            <w:tcW w:w="6094" w:type="dxa"/>
            <w:shd w:val="clear" w:color="auto" w:fill="CCFFFF"/>
          </w:tcPr>
          <w:p>
            <w:pPr>
              <w:pStyle w:val="TableParagraph"/>
              <w:spacing w:before="51"/>
              <w:ind w:left="71"/>
              <w:rPr>
                <w:b/>
                <w:sz w:val="18"/>
              </w:rPr>
            </w:pPr>
            <w:r>
              <w:rPr>
                <w:b/>
                <w:sz w:val="18"/>
              </w:rPr>
              <w:t>umístění / účel</w:t>
            </w:r>
          </w:p>
        </w:tc>
        <w:tc>
          <w:tcPr>
            <w:tcW w:w="2268" w:type="dxa"/>
            <w:shd w:val="clear" w:color="auto" w:fill="CCFFFF"/>
          </w:tcPr>
          <w:p>
            <w:pPr>
              <w:pStyle w:val="TableParagraph"/>
              <w:spacing w:before="51"/>
              <w:ind w:left="692"/>
              <w:rPr>
                <w:b/>
                <w:sz w:val="18"/>
              </w:rPr>
            </w:pPr>
            <w:r>
              <w:rPr>
                <w:b/>
                <w:sz w:val="18"/>
              </w:rPr>
              <w:t>poznámka</w:t>
            </w:r>
          </w:p>
        </w:tc>
      </w:tr>
      <w:tr>
        <w:trPr>
          <w:trHeight w:val="234" w:hRule="atLeast"/>
        </w:trPr>
        <w:tc>
          <w:tcPr>
            <w:tcW w:w="1277" w:type="dxa"/>
          </w:tcPr>
          <w:p>
            <w:pPr>
              <w:pStyle w:val="TableParagraph"/>
              <w:spacing w:line="189" w:lineRule="exact" w:before="25"/>
              <w:rPr>
                <w:sz w:val="18"/>
              </w:rPr>
            </w:pPr>
            <w:r>
              <w:rPr>
                <w:sz w:val="18"/>
              </w:rPr>
              <w:t>D28</w:t>
            </w:r>
          </w:p>
        </w:tc>
        <w:tc>
          <w:tcPr>
            <w:tcW w:w="6094" w:type="dxa"/>
          </w:tcPr>
          <w:p>
            <w:pPr>
              <w:pStyle w:val="TableParagraph"/>
              <w:spacing w:line="189" w:lineRule="exact" w:before="25"/>
              <w:rPr>
                <w:sz w:val="18"/>
              </w:rPr>
            </w:pPr>
            <w:r>
              <w:rPr>
                <w:sz w:val="18"/>
              </w:rPr>
              <w:t>Koridor železniční tratě č. 089 Liberec – Hrádek nad Nisou – Rybniště</w:t>
            </w:r>
          </w:p>
        </w:tc>
        <w:tc>
          <w:tcPr>
            <w:tcW w:w="2268" w:type="dxa"/>
          </w:tcPr>
          <w:p>
            <w:pPr>
              <w:pStyle w:val="TableParagraph"/>
              <w:ind w:left="0"/>
              <w:rPr>
                <w:rFonts w:ascii="Times New Roman"/>
                <w:sz w:val="16"/>
              </w:rPr>
            </w:pPr>
          </w:p>
        </w:tc>
      </w:tr>
    </w:tbl>
    <w:p>
      <w:pPr>
        <w:tabs>
          <w:tab w:pos="1024" w:val="left" w:leader="none"/>
        </w:tabs>
        <w:spacing w:before="174" w:after="5"/>
        <w:ind w:left="172" w:right="0" w:firstLine="0"/>
        <w:jc w:val="left"/>
        <w:rPr>
          <w:b/>
          <w:sz w:val="18"/>
        </w:rPr>
      </w:pPr>
      <w:r>
        <w:rPr>
          <w:b/>
          <w:sz w:val="18"/>
        </w:rPr>
        <w:t>Tab.:</w:t>
        <w:tab/>
        <w:t>Veřejně prospěšné stavby dopravní infrastruktury na veřejných</w:t>
      </w:r>
      <w:r>
        <w:rPr>
          <w:b/>
          <w:spacing w:val="-15"/>
          <w:sz w:val="18"/>
        </w:rPr>
        <w:t> </w:t>
      </w:r>
      <w:r>
        <w:rPr>
          <w:b/>
          <w:sz w:val="18"/>
        </w:rPr>
        <w:t>prostranstvích</w:t>
      </w: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7"/>
        <w:gridCol w:w="6094"/>
        <w:gridCol w:w="2268"/>
      </w:tblGrid>
      <w:tr>
        <w:trPr>
          <w:trHeight w:val="205" w:hRule="atLeast"/>
        </w:trPr>
        <w:tc>
          <w:tcPr>
            <w:tcW w:w="1277" w:type="dxa"/>
            <w:shd w:val="clear" w:color="auto" w:fill="CCFFFF"/>
          </w:tcPr>
          <w:p>
            <w:pPr>
              <w:pStyle w:val="TableParagraph"/>
              <w:spacing w:line="186" w:lineRule="exact"/>
              <w:ind w:left="71"/>
              <w:rPr>
                <w:b/>
                <w:sz w:val="18"/>
              </w:rPr>
            </w:pPr>
            <w:r>
              <w:rPr>
                <w:b/>
                <w:sz w:val="18"/>
              </w:rPr>
              <w:t>VPS číslo</w:t>
            </w:r>
          </w:p>
        </w:tc>
        <w:tc>
          <w:tcPr>
            <w:tcW w:w="6094" w:type="dxa"/>
            <w:shd w:val="clear" w:color="auto" w:fill="CCFFFF"/>
          </w:tcPr>
          <w:p>
            <w:pPr>
              <w:pStyle w:val="TableParagraph"/>
              <w:spacing w:line="186" w:lineRule="exact"/>
              <w:ind w:left="71"/>
              <w:rPr>
                <w:b/>
                <w:sz w:val="18"/>
              </w:rPr>
            </w:pPr>
            <w:r>
              <w:rPr>
                <w:b/>
                <w:sz w:val="18"/>
              </w:rPr>
              <w:t>umístění / účel</w:t>
            </w:r>
          </w:p>
        </w:tc>
        <w:tc>
          <w:tcPr>
            <w:tcW w:w="2268" w:type="dxa"/>
            <w:shd w:val="clear" w:color="auto" w:fill="CCFFFF"/>
          </w:tcPr>
          <w:p>
            <w:pPr>
              <w:pStyle w:val="TableParagraph"/>
              <w:spacing w:line="186" w:lineRule="exact"/>
              <w:ind w:left="692"/>
              <w:rPr>
                <w:b/>
                <w:sz w:val="18"/>
              </w:rPr>
            </w:pPr>
            <w:r>
              <w:rPr>
                <w:b/>
                <w:sz w:val="18"/>
              </w:rPr>
              <w:t>poznámka</w:t>
            </w:r>
          </w:p>
        </w:tc>
      </w:tr>
      <w:tr>
        <w:trPr>
          <w:trHeight w:val="208" w:hRule="atLeast"/>
        </w:trPr>
        <w:tc>
          <w:tcPr>
            <w:tcW w:w="1277" w:type="dxa"/>
          </w:tcPr>
          <w:p>
            <w:pPr>
              <w:pStyle w:val="TableParagraph"/>
              <w:spacing w:line="187" w:lineRule="exact" w:before="1"/>
              <w:rPr>
                <w:sz w:val="18"/>
              </w:rPr>
            </w:pPr>
            <w:r>
              <w:rPr>
                <w:sz w:val="18"/>
              </w:rPr>
              <w:t>3.P</w:t>
            </w:r>
          </w:p>
        </w:tc>
        <w:tc>
          <w:tcPr>
            <w:tcW w:w="6094" w:type="dxa"/>
          </w:tcPr>
          <w:p>
            <w:pPr>
              <w:pStyle w:val="TableParagraph"/>
              <w:spacing w:line="187" w:lineRule="exact" w:before="1"/>
              <w:rPr>
                <w:sz w:val="18"/>
              </w:rPr>
            </w:pPr>
            <w:r>
              <w:rPr>
                <w:sz w:val="18"/>
              </w:rPr>
              <w:t>Loudátova - úprava jižního segmentu okruhu kolem centra</w:t>
            </w:r>
          </w:p>
        </w:tc>
        <w:tc>
          <w:tcPr>
            <w:tcW w:w="2268" w:type="dxa"/>
          </w:tcPr>
          <w:p>
            <w:pPr>
              <w:pStyle w:val="TableParagraph"/>
              <w:ind w:left="0"/>
              <w:rPr>
                <w:rFonts w:ascii="Times New Roman"/>
                <w:sz w:val="14"/>
              </w:rPr>
            </w:pPr>
          </w:p>
        </w:tc>
      </w:tr>
      <w:tr>
        <w:trPr>
          <w:trHeight w:val="205" w:hRule="atLeast"/>
        </w:trPr>
        <w:tc>
          <w:tcPr>
            <w:tcW w:w="1277" w:type="dxa"/>
          </w:tcPr>
          <w:p>
            <w:pPr>
              <w:pStyle w:val="TableParagraph"/>
              <w:spacing w:line="186" w:lineRule="exact"/>
              <w:rPr>
                <w:sz w:val="18"/>
              </w:rPr>
            </w:pPr>
            <w:r>
              <w:rPr>
                <w:sz w:val="18"/>
              </w:rPr>
              <w:t>4.P</w:t>
            </w:r>
          </w:p>
        </w:tc>
        <w:tc>
          <w:tcPr>
            <w:tcW w:w="6094" w:type="dxa"/>
          </w:tcPr>
          <w:p>
            <w:pPr>
              <w:pStyle w:val="TableParagraph"/>
              <w:spacing w:line="186" w:lineRule="exact"/>
              <w:rPr>
                <w:sz w:val="18"/>
              </w:rPr>
            </w:pPr>
            <w:r>
              <w:rPr>
                <w:sz w:val="18"/>
              </w:rPr>
              <w:t>Za restaurací Koruna – pěší spojka</w:t>
            </w:r>
          </w:p>
        </w:tc>
        <w:tc>
          <w:tcPr>
            <w:tcW w:w="2268" w:type="dxa"/>
          </w:tcPr>
          <w:p>
            <w:pPr>
              <w:pStyle w:val="TableParagraph"/>
              <w:ind w:left="0"/>
              <w:rPr>
                <w:rFonts w:ascii="Times New Roman"/>
                <w:sz w:val="14"/>
              </w:rPr>
            </w:pPr>
          </w:p>
        </w:tc>
      </w:tr>
      <w:tr>
        <w:trPr>
          <w:trHeight w:val="208" w:hRule="atLeast"/>
        </w:trPr>
        <w:tc>
          <w:tcPr>
            <w:tcW w:w="1277" w:type="dxa"/>
            <w:tcBorders>
              <w:left w:val="single" w:sz="2" w:space="0" w:color="000000"/>
              <w:bottom w:val="single" w:sz="2" w:space="0" w:color="000000"/>
            </w:tcBorders>
          </w:tcPr>
          <w:p>
            <w:pPr>
              <w:pStyle w:val="TableParagraph"/>
              <w:spacing w:line="188" w:lineRule="exact"/>
              <w:ind w:left="88"/>
              <w:rPr>
                <w:sz w:val="18"/>
              </w:rPr>
            </w:pPr>
            <w:r>
              <w:rPr>
                <w:sz w:val="18"/>
              </w:rPr>
              <w:t>Z3/2.P(10.P)</w:t>
            </w:r>
          </w:p>
        </w:tc>
        <w:tc>
          <w:tcPr>
            <w:tcW w:w="6094" w:type="dxa"/>
            <w:tcBorders>
              <w:bottom w:val="single" w:sz="2" w:space="0" w:color="000000"/>
            </w:tcBorders>
          </w:tcPr>
          <w:p>
            <w:pPr>
              <w:pStyle w:val="TableParagraph"/>
              <w:spacing w:line="188" w:lineRule="exact"/>
              <w:ind w:left="85"/>
              <w:rPr>
                <w:sz w:val="18"/>
              </w:rPr>
            </w:pPr>
            <w:r>
              <w:rPr>
                <w:sz w:val="18"/>
              </w:rPr>
              <w:t>Pobřežní – samostatná stezka na cyklotrase č. 22</w:t>
            </w:r>
          </w:p>
        </w:tc>
        <w:tc>
          <w:tcPr>
            <w:tcW w:w="2268" w:type="dxa"/>
            <w:tcBorders>
              <w:bottom w:val="single" w:sz="2" w:space="0" w:color="000000"/>
            </w:tcBorders>
          </w:tcPr>
          <w:p>
            <w:pPr>
              <w:pStyle w:val="TableParagraph"/>
              <w:ind w:left="0"/>
              <w:rPr>
                <w:rFonts w:ascii="Times New Roman"/>
                <w:sz w:val="14"/>
              </w:rPr>
            </w:pPr>
          </w:p>
        </w:tc>
      </w:tr>
      <w:tr>
        <w:trPr>
          <w:trHeight w:val="225" w:hRule="atLeast"/>
        </w:trPr>
        <w:tc>
          <w:tcPr>
            <w:tcW w:w="1277" w:type="dxa"/>
            <w:tcBorders>
              <w:top w:val="single" w:sz="2" w:space="0" w:color="000000"/>
            </w:tcBorders>
          </w:tcPr>
          <w:p>
            <w:pPr>
              <w:pStyle w:val="TableParagraph"/>
              <w:spacing w:line="205" w:lineRule="exact"/>
              <w:rPr>
                <w:sz w:val="18"/>
              </w:rPr>
            </w:pPr>
            <w:r>
              <w:rPr>
                <w:sz w:val="18"/>
              </w:rPr>
              <w:t>24.P</w:t>
            </w:r>
          </w:p>
        </w:tc>
        <w:tc>
          <w:tcPr>
            <w:tcW w:w="6094" w:type="dxa"/>
            <w:tcBorders>
              <w:top w:val="single" w:sz="2" w:space="0" w:color="000000"/>
            </w:tcBorders>
          </w:tcPr>
          <w:p>
            <w:pPr>
              <w:pStyle w:val="TableParagraph"/>
              <w:spacing w:line="205" w:lineRule="exact"/>
              <w:ind w:left="126"/>
              <w:rPr>
                <w:sz w:val="18"/>
              </w:rPr>
            </w:pPr>
            <w:r>
              <w:rPr>
                <w:sz w:val="18"/>
              </w:rPr>
              <w:t>Střelecký vrch – zokruhování sídlištní komunikace</w:t>
            </w:r>
          </w:p>
        </w:tc>
        <w:tc>
          <w:tcPr>
            <w:tcW w:w="2268" w:type="dxa"/>
            <w:tcBorders>
              <w:top w:val="single" w:sz="2" w:space="0" w:color="000000"/>
            </w:tcBorders>
          </w:tcPr>
          <w:p>
            <w:pPr>
              <w:pStyle w:val="TableParagraph"/>
              <w:ind w:left="0"/>
              <w:rPr>
                <w:rFonts w:ascii="Times New Roman"/>
                <w:sz w:val="16"/>
              </w:rPr>
            </w:pPr>
          </w:p>
        </w:tc>
      </w:tr>
      <w:tr>
        <w:trPr>
          <w:trHeight w:val="227" w:hRule="atLeast"/>
        </w:trPr>
        <w:tc>
          <w:tcPr>
            <w:tcW w:w="1277" w:type="dxa"/>
          </w:tcPr>
          <w:p>
            <w:pPr>
              <w:pStyle w:val="TableParagraph"/>
              <w:spacing w:line="206" w:lineRule="exact" w:before="1"/>
              <w:rPr>
                <w:sz w:val="18"/>
              </w:rPr>
            </w:pPr>
            <w:r>
              <w:rPr>
                <w:sz w:val="18"/>
              </w:rPr>
              <w:t>25.P</w:t>
            </w:r>
          </w:p>
        </w:tc>
        <w:tc>
          <w:tcPr>
            <w:tcW w:w="6094" w:type="dxa"/>
          </w:tcPr>
          <w:p>
            <w:pPr>
              <w:pStyle w:val="TableParagraph"/>
              <w:spacing w:line="206" w:lineRule="exact" w:before="1"/>
              <w:ind w:left="126"/>
              <w:rPr>
                <w:sz w:val="18"/>
              </w:rPr>
            </w:pPr>
            <w:r>
              <w:rPr>
                <w:sz w:val="18"/>
              </w:rPr>
              <w:t>Střelecký vrch – zokruhování sídlištní komunikace</w:t>
            </w:r>
          </w:p>
        </w:tc>
        <w:tc>
          <w:tcPr>
            <w:tcW w:w="2268" w:type="dxa"/>
          </w:tcPr>
          <w:p>
            <w:pPr>
              <w:pStyle w:val="TableParagraph"/>
              <w:ind w:left="0"/>
              <w:rPr>
                <w:rFonts w:ascii="Times New Roman"/>
                <w:sz w:val="16"/>
              </w:rPr>
            </w:pPr>
          </w:p>
        </w:tc>
      </w:tr>
      <w:tr>
        <w:trPr>
          <w:trHeight w:val="227" w:hRule="atLeast"/>
        </w:trPr>
        <w:tc>
          <w:tcPr>
            <w:tcW w:w="1277" w:type="dxa"/>
          </w:tcPr>
          <w:p>
            <w:pPr>
              <w:pStyle w:val="TableParagraph"/>
              <w:spacing w:line="206" w:lineRule="exact"/>
              <w:rPr>
                <w:sz w:val="18"/>
              </w:rPr>
            </w:pPr>
            <w:r>
              <w:rPr>
                <w:sz w:val="18"/>
              </w:rPr>
              <w:t>26.P</w:t>
            </w:r>
          </w:p>
        </w:tc>
        <w:tc>
          <w:tcPr>
            <w:tcW w:w="6094" w:type="dxa"/>
          </w:tcPr>
          <w:p>
            <w:pPr>
              <w:pStyle w:val="TableParagraph"/>
              <w:spacing w:line="206" w:lineRule="exact"/>
              <w:ind w:left="126"/>
              <w:rPr>
                <w:sz w:val="18"/>
              </w:rPr>
            </w:pPr>
            <w:r>
              <w:rPr>
                <w:sz w:val="18"/>
              </w:rPr>
              <w:t>Střelecký vrch – zokruhování sídlištní komunikace</w:t>
            </w:r>
          </w:p>
        </w:tc>
        <w:tc>
          <w:tcPr>
            <w:tcW w:w="2268" w:type="dxa"/>
          </w:tcPr>
          <w:p>
            <w:pPr>
              <w:pStyle w:val="TableParagraph"/>
              <w:ind w:left="0"/>
              <w:rPr>
                <w:rFonts w:ascii="Times New Roman"/>
                <w:sz w:val="16"/>
              </w:rPr>
            </w:pPr>
          </w:p>
        </w:tc>
      </w:tr>
      <w:tr>
        <w:trPr>
          <w:trHeight w:val="227" w:hRule="atLeast"/>
        </w:trPr>
        <w:tc>
          <w:tcPr>
            <w:tcW w:w="1277" w:type="dxa"/>
          </w:tcPr>
          <w:p>
            <w:pPr>
              <w:pStyle w:val="TableParagraph"/>
              <w:spacing w:line="206" w:lineRule="exact"/>
              <w:rPr>
                <w:sz w:val="18"/>
              </w:rPr>
            </w:pPr>
            <w:r>
              <w:rPr>
                <w:sz w:val="18"/>
              </w:rPr>
              <w:t>29.P</w:t>
            </w:r>
          </w:p>
        </w:tc>
        <w:tc>
          <w:tcPr>
            <w:tcW w:w="6094" w:type="dxa"/>
          </w:tcPr>
          <w:p>
            <w:pPr>
              <w:pStyle w:val="TableParagraph"/>
              <w:spacing w:line="206" w:lineRule="exact"/>
              <w:ind w:left="126"/>
              <w:rPr>
                <w:sz w:val="18"/>
              </w:rPr>
            </w:pPr>
            <w:r>
              <w:rPr>
                <w:sz w:val="18"/>
              </w:rPr>
              <w:t>Revoluční - úprava jižního segmentu okruhu kolem centra</w:t>
            </w:r>
          </w:p>
        </w:tc>
        <w:tc>
          <w:tcPr>
            <w:tcW w:w="2268" w:type="dxa"/>
          </w:tcPr>
          <w:p>
            <w:pPr>
              <w:pStyle w:val="TableParagraph"/>
              <w:ind w:left="0"/>
              <w:rPr>
                <w:rFonts w:ascii="Times New Roman"/>
                <w:sz w:val="16"/>
              </w:rPr>
            </w:pPr>
          </w:p>
        </w:tc>
      </w:tr>
      <w:tr>
        <w:trPr>
          <w:trHeight w:val="225" w:hRule="atLeast"/>
        </w:trPr>
        <w:tc>
          <w:tcPr>
            <w:tcW w:w="1277" w:type="dxa"/>
          </w:tcPr>
          <w:p>
            <w:pPr>
              <w:pStyle w:val="TableParagraph"/>
              <w:spacing w:line="205" w:lineRule="exact"/>
              <w:rPr>
                <w:sz w:val="18"/>
              </w:rPr>
            </w:pPr>
            <w:r>
              <w:rPr>
                <w:sz w:val="18"/>
              </w:rPr>
              <w:t>32.P</w:t>
            </w:r>
          </w:p>
        </w:tc>
        <w:tc>
          <w:tcPr>
            <w:tcW w:w="6094" w:type="dxa"/>
          </w:tcPr>
          <w:p>
            <w:pPr>
              <w:pStyle w:val="TableParagraph"/>
              <w:spacing w:line="205" w:lineRule="exact"/>
              <w:ind w:left="126"/>
              <w:rPr>
                <w:sz w:val="18"/>
              </w:rPr>
            </w:pPr>
            <w:r>
              <w:rPr>
                <w:sz w:val="18"/>
              </w:rPr>
              <w:t>Textilanská – stezka podél rybníků na sídlišti Střelecký vrch</w:t>
            </w:r>
          </w:p>
        </w:tc>
        <w:tc>
          <w:tcPr>
            <w:tcW w:w="2268" w:type="dxa"/>
          </w:tcPr>
          <w:p>
            <w:pPr>
              <w:pStyle w:val="TableParagraph"/>
              <w:ind w:left="0"/>
              <w:rPr>
                <w:rFonts w:ascii="Times New Roman"/>
                <w:sz w:val="16"/>
              </w:rPr>
            </w:pPr>
          </w:p>
        </w:tc>
      </w:tr>
      <w:tr>
        <w:trPr>
          <w:trHeight w:val="227" w:hRule="atLeast"/>
        </w:trPr>
        <w:tc>
          <w:tcPr>
            <w:tcW w:w="1277" w:type="dxa"/>
          </w:tcPr>
          <w:p>
            <w:pPr>
              <w:pStyle w:val="TableParagraph"/>
              <w:spacing w:line="206" w:lineRule="exact" w:before="1"/>
              <w:rPr>
                <w:sz w:val="18"/>
              </w:rPr>
            </w:pPr>
            <w:r>
              <w:rPr>
                <w:sz w:val="18"/>
              </w:rPr>
              <w:t>41.P</w:t>
            </w:r>
          </w:p>
        </w:tc>
        <w:tc>
          <w:tcPr>
            <w:tcW w:w="6094" w:type="dxa"/>
          </w:tcPr>
          <w:p>
            <w:pPr>
              <w:pStyle w:val="TableParagraph"/>
              <w:spacing w:line="206" w:lineRule="exact" w:before="1"/>
              <w:ind w:left="126"/>
              <w:rPr>
                <w:sz w:val="18"/>
              </w:rPr>
            </w:pPr>
            <w:r>
              <w:rPr>
                <w:sz w:val="18"/>
              </w:rPr>
              <w:t>Vítkovská – zpřístupnění hlavní rozvojové plochy pro bydlení</w:t>
            </w:r>
          </w:p>
        </w:tc>
        <w:tc>
          <w:tcPr>
            <w:tcW w:w="2268" w:type="dxa"/>
          </w:tcPr>
          <w:p>
            <w:pPr>
              <w:pStyle w:val="TableParagraph"/>
              <w:ind w:left="0"/>
              <w:rPr>
                <w:rFonts w:ascii="Times New Roman"/>
                <w:sz w:val="16"/>
              </w:rPr>
            </w:pPr>
          </w:p>
        </w:tc>
      </w:tr>
      <w:tr>
        <w:trPr>
          <w:trHeight w:val="227" w:hRule="atLeast"/>
        </w:trPr>
        <w:tc>
          <w:tcPr>
            <w:tcW w:w="1277" w:type="dxa"/>
          </w:tcPr>
          <w:p>
            <w:pPr>
              <w:pStyle w:val="TableParagraph"/>
              <w:spacing w:line="206" w:lineRule="exact"/>
              <w:rPr>
                <w:sz w:val="18"/>
              </w:rPr>
            </w:pPr>
            <w:r>
              <w:rPr>
                <w:sz w:val="18"/>
              </w:rPr>
              <w:t>45.P</w:t>
            </w:r>
          </w:p>
        </w:tc>
        <w:tc>
          <w:tcPr>
            <w:tcW w:w="6094" w:type="dxa"/>
          </w:tcPr>
          <w:p>
            <w:pPr>
              <w:pStyle w:val="TableParagraph"/>
              <w:spacing w:line="206" w:lineRule="exact"/>
              <w:ind w:left="126"/>
              <w:rPr>
                <w:sz w:val="18"/>
              </w:rPr>
            </w:pPr>
            <w:r>
              <w:rPr>
                <w:sz w:val="18"/>
              </w:rPr>
              <w:t>Liberecká – obsluha rozvojových ploch, cyklistická stezka na trase č. 14</w:t>
            </w:r>
          </w:p>
        </w:tc>
        <w:tc>
          <w:tcPr>
            <w:tcW w:w="2268" w:type="dxa"/>
          </w:tcPr>
          <w:p>
            <w:pPr>
              <w:pStyle w:val="TableParagraph"/>
              <w:ind w:left="0"/>
              <w:rPr>
                <w:rFonts w:ascii="Times New Roman"/>
                <w:sz w:val="16"/>
              </w:rPr>
            </w:pPr>
          </w:p>
        </w:tc>
      </w:tr>
      <w:tr>
        <w:trPr>
          <w:trHeight w:val="227" w:hRule="atLeast"/>
        </w:trPr>
        <w:tc>
          <w:tcPr>
            <w:tcW w:w="1277" w:type="dxa"/>
          </w:tcPr>
          <w:p>
            <w:pPr>
              <w:pStyle w:val="TableParagraph"/>
              <w:spacing w:line="206" w:lineRule="exact"/>
              <w:rPr>
                <w:sz w:val="18"/>
              </w:rPr>
            </w:pPr>
            <w:r>
              <w:rPr>
                <w:sz w:val="18"/>
              </w:rPr>
              <w:t>50.P</w:t>
            </w:r>
          </w:p>
        </w:tc>
        <w:tc>
          <w:tcPr>
            <w:tcW w:w="6094" w:type="dxa"/>
          </w:tcPr>
          <w:p>
            <w:pPr>
              <w:pStyle w:val="TableParagraph"/>
              <w:spacing w:line="206" w:lineRule="exact"/>
              <w:ind w:left="126"/>
              <w:rPr>
                <w:sz w:val="18"/>
              </w:rPr>
            </w:pPr>
            <w:r>
              <w:rPr>
                <w:sz w:val="18"/>
              </w:rPr>
              <w:t>Liberecká – obsluha rozvojových ploch, cyklistická stezka na trase č. 14</w:t>
            </w:r>
          </w:p>
        </w:tc>
        <w:tc>
          <w:tcPr>
            <w:tcW w:w="2268" w:type="dxa"/>
          </w:tcPr>
          <w:p>
            <w:pPr>
              <w:pStyle w:val="TableParagraph"/>
              <w:ind w:left="0"/>
              <w:rPr>
                <w:rFonts w:ascii="Times New Roman"/>
                <w:sz w:val="16"/>
              </w:rPr>
            </w:pPr>
          </w:p>
        </w:tc>
      </w:tr>
      <w:tr>
        <w:trPr>
          <w:trHeight w:val="225" w:hRule="atLeast"/>
        </w:trPr>
        <w:tc>
          <w:tcPr>
            <w:tcW w:w="1277" w:type="dxa"/>
          </w:tcPr>
          <w:p>
            <w:pPr>
              <w:pStyle w:val="TableParagraph"/>
              <w:spacing w:line="205" w:lineRule="exact"/>
              <w:rPr>
                <w:sz w:val="18"/>
              </w:rPr>
            </w:pPr>
            <w:r>
              <w:rPr>
                <w:sz w:val="18"/>
              </w:rPr>
              <w:t>72.P</w:t>
            </w:r>
          </w:p>
        </w:tc>
        <w:tc>
          <w:tcPr>
            <w:tcW w:w="6094" w:type="dxa"/>
          </w:tcPr>
          <w:p>
            <w:pPr>
              <w:pStyle w:val="TableParagraph"/>
              <w:spacing w:line="205" w:lineRule="exact"/>
              <w:ind w:left="126"/>
              <w:rPr>
                <w:sz w:val="18"/>
              </w:rPr>
            </w:pPr>
            <w:r>
              <w:rPr>
                <w:sz w:val="18"/>
              </w:rPr>
              <w:t>Pobřežní – Bílokostelecká – zklidněné napojení rozvojových ploch</w:t>
            </w:r>
          </w:p>
        </w:tc>
        <w:tc>
          <w:tcPr>
            <w:tcW w:w="2268" w:type="dxa"/>
          </w:tcPr>
          <w:p>
            <w:pPr>
              <w:pStyle w:val="TableParagraph"/>
              <w:ind w:left="0"/>
              <w:rPr>
                <w:rFonts w:ascii="Times New Roman"/>
                <w:sz w:val="16"/>
              </w:rPr>
            </w:pPr>
          </w:p>
        </w:tc>
      </w:tr>
      <w:tr>
        <w:trPr>
          <w:trHeight w:val="227" w:hRule="atLeast"/>
        </w:trPr>
        <w:tc>
          <w:tcPr>
            <w:tcW w:w="1277" w:type="dxa"/>
          </w:tcPr>
          <w:p>
            <w:pPr>
              <w:pStyle w:val="TableParagraph"/>
              <w:spacing w:line="206" w:lineRule="exact" w:before="1"/>
              <w:rPr>
                <w:sz w:val="18"/>
              </w:rPr>
            </w:pPr>
            <w:r>
              <w:rPr>
                <w:sz w:val="18"/>
              </w:rPr>
              <w:t>75.P</w:t>
            </w:r>
          </w:p>
        </w:tc>
        <w:tc>
          <w:tcPr>
            <w:tcW w:w="6094" w:type="dxa"/>
          </w:tcPr>
          <w:p>
            <w:pPr>
              <w:pStyle w:val="TableParagraph"/>
              <w:spacing w:line="206" w:lineRule="exact" w:before="1"/>
              <w:ind w:left="126"/>
              <w:rPr>
                <w:sz w:val="18"/>
              </w:rPr>
            </w:pPr>
            <w:r>
              <w:rPr>
                <w:sz w:val="18"/>
              </w:rPr>
              <w:t>Nádražní – Pobřežní – napojení rozvojových ploch, rekonstrukce mostu</w:t>
            </w:r>
          </w:p>
        </w:tc>
        <w:tc>
          <w:tcPr>
            <w:tcW w:w="2268" w:type="dxa"/>
          </w:tcPr>
          <w:p>
            <w:pPr>
              <w:pStyle w:val="TableParagraph"/>
              <w:ind w:left="0"/>
              <w:rPr>
                <w:rFonts w:ascii="Times New Roman"/>
                <w:sz w:val="16"/>
              </w:rPr>
            </w:pPr>
          </w:p>
        </w:tc>
      </w:tr>
      <w:tr>
        <w:trPr>
          <w:trHeight w:val="227" w:hRule="atLeast"/>
        </w:trPr>
        <w:tc>
          <w:tcPr>
            <w:tcW w:w="1277" w:type="dxa"/>
          </w:tcPr>
          <w:p>
            <w:pPr>
              <w:pStyle w:val="TableParagraph"/>
              <w:spacing w:line="206" w:lineRule="exact"/>
              <w:rPr>
                <w:sz w:val="18"/>
              </w:rPr>
            </w:pPr>
            <w:r>
              <w:rPr>
                <w:sz w:val="18"/>
              </w:rPr>
              <w:t>76.P</w:t>
            </w:r>
          </w:p>
        </w:tc>
        <w:tc>
          <w:tcPr>
            <w:tcW w:w="6094" w:type="dxa"/>
          </w:tcPr>
          <w:p>
            <w:pPr>
              <w:pStyle w:val="TableParagraph"/>
              <w:spacing w:line="206" w:lineRule="exact"/>
              <w:ind w:left="126"/>
              <w:rPr>
                <w:sz w:val="18"/>
              </w:rPr>
            </w:pPr>
            <w:r>
              <w:rPr>
                <w:sz w:val="18"/>
              </w:rPr>
              <w:t>Nádražní – úprava přednádražního prostoru</w:t>
            </w:r>
          </w:p>
        </w:tc>
        <w:tc>
          <w:tcPr>
            <w:tcW w:w="2268" w:type="dxa"/>
          </w:tcPr>
          <w:p>
            <w:pPr>
              <w:pStyle w:val="TableParagraph"/>
              <w:ind w:left="0"/>
              <w:rPr>
                <w:rFonts w:ascii="Times New Roman"/>
                <w:sz w:val="16"/>
              </w:rPr>
            </w:pPr>
          </w:p>
        </w:tc>
      </w:tr>
      <w:tr>
        <w:trPr>
          <w:trHeight w:val="234" w:hRule="atLeast"/>
        </w:trPr>
        <w:tc>
          <w:tcPr>
            <w:tcW w:w="1277" w:type="dxa"/>
          </w:tcPr>
          <w:p>
            <w:pPr>
              <w:pStyle w:val="TableParagraph"/>
              <w:spacing w:line="189" w:lineRule="exact" w:before="25"/>
              <w:rPr>
                <w:sz w:val="18"/>
              </w:rPr>
            </w:pPr>
            <w:r>
              <w:rPr>
                <w:sz w:val="18"/>
              </w:rPr>
              <w:t>130.P</w:t>
            </w:r>
          </w:p>
        </w:tc>
        <w:tc>
          <w:tcPr>
            <w:tcW w:w="6094" w:type="dxa"/>
          </w:tcPr>
          <w:p>
            <w:pPr>
              <w:pStyle w:val="TableParagraph"/>
              <w:spacing w:line="189" w:lineRule="exact" w:before="25"/>
              <w:ind w:left="126"/>
              <w:rPr>
                <w:sz w:val="18"/>
              </w:rPr>
            </w:pPr>
            <w:r>
              <w:rPr>
                <w:sz w:val="18"/>
              </w:rPr>
              <w:t>Andělohorská - pěší nástup k lyžařskému areálu</w:t>
            </w:r>
          </w:p>
        </w:tc>
        <w:tc>
          <w:tcPr>
            <w:tcW w:w="2268" w:type="dxa"/>
          </w:tcPr>
          <w:p>
            <w:pPr>
              <w:pStyle w:val="TableParagraph"/>
              <w:ind w:left="0"/>
              <w:rPr>
                <w:rFonts w:ascii="Times New Roman"/>
                <w:sz w:val="16"/>
              </w:rPr>
            </w:pPr>
          </w:p>
        </w:tc>
      </w:tr>
    </w:tbl>
    <w:p>
      <w:pPr>
        <w:pStyle w:val="BodyText"/>
        <w:spacing w:before="4"/>
        <w:ind w:left="0" w:firstLine="0"/>
        <w:jc w:val="left"/>
        <w:rPr>
          <w:b/>
          <w:sz w:val="20"/>
        </w:rPr>
      </w:pPr>
    </w:p>
    <w:p>
      <w:pPr>
        <w:tabs>
          <w:tab w:pos="1024" w:val="left" w:leader="none"/>
        </w:tabs>
        <w:spacing w:before="0" w:after="5"/>
        <w:ind w:left="172" w:right="0" w:firstLine="0"/>
        <w:jc w:val="left"/>
        <w:rPr>
          <w:b/>
          <w:sz w:val="18"/>
        </w:rPr>
      </w:pPr>
      <w:r>
        <w:rPr>
          <w:b/>
          <w:sz w:val="18"/>
        </w:rPr>
        <w:t>Tab.:</w:t>
        <w:tab/>
        <w:t>Veřejně prospěšné stavby technické</w:t>
      </w:r>
      <w:r>
        <w:rPr>
          <w:b/>
          <w:spacing w:val="-5"/>
          <w:sz w:val="18"/>
        </w:rPr>
        <w:t> </w:t>
      </w:r>
      <w:r>
        <w:rPr>
          <w:b/>
          <w:sz w:val="18"/>
        </w:rPr>
        <w:t>infrastruktury</w:t>
      </w: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7"/>
        <w:gridCol w:w="6094"/>
        <w:gridCol w:w="2268"/>
      </w:tblGrid>
      <w:tr>
        <w:trPr>
          <w:trHeight w:val="268" w:hRule="atLeast"/>
        </w:trPr>
        <w:tc>
          <w:tcPr>
            <w:tcW w:w="1277" w:type="dxa"/>
            <w:shd w:val="clear" w:color="auto" w:fill="CCFFFF"/>
          </w:tcPr>
          <w:p>
            <w:pPr>
              <w:pStyle w:val="TableParagraph"/>
              <w:spacing w:before="37"/>
              <w:ind w:left="71"/>
              <w:rPr>
                <w:b/>
                <w:sz w:val="18"/>
              </w:rPr>
            </w:pPr>
            <w:r>
              <w:rPr>
                <w:b/>
                <w:sz w:val="18"/>
              </w:rPr>
              <w:t>VPS číslo</w:t>
            </w:r>
          </w:p>
        </w:tc>
        <w:tc>
          <w:tcPr>
            <w:tcW w:w="6094" w:type="dxa"/>
            <w:shd w:val="clear" w:color="auto" w:fill="CCFFFF"/>
          </w:tcPr>
          <w:p>
            <w:pPr>
              <w:pStyle w:val="TableParagraph"/>
              <w:spacing w:before="37"/>
              <w:ind w:left="71"/>
              <w:rPr>
                <w:b/>
                <w:sz w:val="18"/>
              </w:rPr>
            </w:pPr>
            <w:r>
              <w:rPr>
                <w:b/>
                <w:sz w:val="18"/>
              </w:rPr>
              <w:t>umístění / účel</w:t>
            </w:r>
          </w:p>
        </w:tc>
        <w:tc>
          <w:tcPr>
            <w:tcW w:w="2268" w:type="dxa"/>
            <w:shd w:val="clear" w:color="auto" w:fill="CCFFFF"/>
          </w:tcPr>
          <w:p>
            <w:pPr>
              <w:pStyle w:val="TableParagraph"/>
              <w:spacing w:before="37"/>
              <w:ind w:left="692"/>
              <w:rPr>
                <w:b/>
                <w:sz w:val="18"/>
              </w:rPr>
            </w:pPr>
            <w:r>
              <w:rPr>
                <w:b/>
                <w:sz w:val="18"/>
              </w:rPr>
              <w:t>poznámka</w:t>
            </w:r>
          </w:p>
        </w:tc>
      </w:tr>
      <w:tr>
        <w:trPr>
          <w:trHeight w:val="234" w:hRule="atLeast"/>
        </w:trPr>
        <w:tc>
          <w:tcPr>
            <w:tcW w:w="1277" w:type="dxa"/>
          </w:tcPr>
          <w:p>
            <w:pPr>
              <w:pStyle w:val="TableParagraph"/>
              <w:spacing w:line="189" w:lineRule="exact" w:before="25"/>
              <w:rPr>
                <w:sz w:val="18"/>
              </w:rPr>
            </w:pPr>
            <w:r>
              <w:rPr>
                <w:sz w:val="18"/>
              </w:rPr>
              <w:t>T1 - 175.I</w:t>
            </w:r>
          </w:p>
        </w:tc>
        <w:tc>
          <w:tcPr>
            <w:tcW w:w="6094" w:type="dxa"/>
          </w:tcPr>
          <w:p>
            <w:pPr>
              <w:pStyle w:val="TableParagraph"/>
              <w:spacing w:line="189" w:lineRule="exact" w:before="25"/>
              <w:rPr>
                <w:sz w:val="18"/>
              </w:rPr>
            </w:pPr>
            <w:r>
              <w:rPr>
                <w:sz w:val="18"/>
              </w:rPr>
              <w:t>Vodojem Horní Vítkov I.</w:t>
            </w:r>
          </w:p>
        </w:tc>
        <w:tc>
          <w:tcPr>
            <w:tcW w:w="2268" w:type="dxa"/>
          </w:tcPr>
          <w:p>
            <w:pPr>
              <w:pStyle w:val="TableParagraph"/>
              <w:ind w:left="0"/>
              <w:rPr>
                <w:rFonts w:ascii="Times New Roman"/>
                <w:sz w:val="16"/>
              </w:rPr>
            </w:pPr>
          </w:p>
        </w:tc>
      </w:tr>
      <w:tr>
        <w:trPr>
          <w:trHeight w:val="234" w:hRule="atLeast"/>
        </w:trPr>
        <w:tc>
          <w:tcPr>
            <w:tcW w:w="1277" w:type="dxa"/>
          </w:tcPr>
          <w:p>
            <w:pPr>
              <w:pStyle w:val="TableParagraph"/>
              <w:spacing w:line="189" w:lineRule="exact" w:before="25"/>
              <w:rPr>
                <w:sz w:val="18"/>
              </w:rPr>
            </w:pPr>
            <w:r>
              <w:rPr>
                <w:sz w:val="18"/>
              </w:rPr>
              <w:t>T2 - 176.I</w:t>
            </w:r>
          </w:p>
        </w:tc>
        <w:tc>
          <w:tcPr>
            <w:tcW w:w="6094" w:type="dxa"/>
          </w:tcPr>
          <w:p>
            <w:pPr>
              <w:pStyle w:val="TableParagraph"/>
              <w:spacing w:line="189" w:lineRule="exact" w:before="25"/>
              <w:rPr>
                <w:sz w:val="18"/>
              </w:rPr>
            </w:pPr>
            <w:r>
              <w:rPr>
                <w:sz w:val="18"/>
              </w:rPr>
              <w:t>Vodojem Horní Vítkov II.</w:t>
            </w:r>
          </w:p>
        </w:tc>
        <w:tc>
          <w:tcPr>
            <w:tcW w:w="2268" w:type="dxa"/>
          </w:tcPr>
          <w:p>
            <w:pPr>
              <w:pStyle w:val="TableParagraph"/>
              <w:ind w:left="0"/>
              <w:rPr>
                <w:rFonts w:ascii="Times New Roman"/>
                <w:sz w:val="16"/>
              </w:rPr>
            </w:pPr>
          </w:p>
        </w:tc>
      </w:tr>
      <w:tr>
        <w:trPr>
          <w:trHeight w:val="234" w:hRule="atLeast"/>
        </w:trPr>
        <w:tc>
          <w:tcPr>
            <w:tcW w:w="1277" w:type="dxa"/>
          </w:tcPr>
          <w:p>
            <w:pPr>
              <w:pStyle w:val="TableParagraph"/>
              <w:spacing w:line="189" w:lineRule="exact" w:before="25"/>
              <w:rPr>
                <w:sz w:val="18"/>
              </w:rPr>
            </w:pPr>
            <w:r>
              <w:rPr>
                <w:sz w:val="18"/>
              </w:rPr>
              <w:t>T3</w:t>
            </w:r>
          </w:p>
        </w:tc>
        <w:tc>
          <w:tcPr>
            <w:tcW w:w="6094" w:type="dxa"/>
          </w:tcPr>
          <w:p>
            <w:pPr>
              <w:pStyle w:val="TableParagraph"/>
              <w:spacing w:line="189" w:lineRule="exact" w:before="25"/>
              <w:rPr>
                <w:sz w:val="18"/>
              </w:rPr>
            </w:pPr>
            <w:r>
              <w:rPr>
                <w:sz w:val="18"/>
              </w:rPr>
              <w:t>Nadzemní vedení VN 22kV včetně trafostanice TN1</w:t>
            </w:r>
          </w:p>
        </w:tc>
        <w:tc>
          <w:tcPr>
            <w:tcW w:w="2268" w:type="dxa"/>
          </w:tcPr>
          <w:p>
            <w:pPr>
              <w:pStyle w:val="TableParagraph"/>
              <w:ind w:left="0"/>
              <w:rPr>
                <w:rFonts w:ascii="Times New Roman"/>
                <w:sz w:val="16"/>
              </w:rPr>
            </w:pPr>
          </w:p>
        </w:tc>
      </w:tr>
      <w:tr>
        <w:trPr>
          <w:trHeight w:val="234" w:hRule="atLeast"/>
        </w:trPr>
        <w:tc>
          <w:tcPr>
            <w:tcW w:w="1277" w:type="dxa"/>
          </w:tcPr>
          <w:p>
            <w:pPr>
              <w:pStyle w:val="TableParagraph"/>
              <w:spacing w:line="189" w:lineRule="exact" w:before="25"/>
              <w:rPr>
                <w:sz w:val="18"/>
              </w:rPr>
            </w:pPr>
            <w:r>
              <w:rPr>
                <w:sz w:val="18"/>
              </w:rPr>
              <w:t>T4</w:t>
            </w:r>
          </w:p>
        </w:tc>
        <w:tc>
          <w:tcPr>
            <w:tcW w:w="6094" w:type="dxa"/>
          </w:tcPr>
          <w:p>
            <w:pPr>
              <w:pStyle w:val="TableParagraph"/>
              <w:spacing w:line="189" w:lineRule="exact" w:before="25"/>
              <w:rPr>
                <w:sz w:val="18"/>
              </w:rPr>
            </w:pPr>
            <w:r>
              <w:rPr>
                <w:sz w:val="18"/>
              </w:rPr>
              <w:t>Nadzemní vedení VN 22kV včetně trafostanice TN9</w:t>
            </w:r>
          </w:p>
        </w:tc>
        <w:tc>
          <w:tcPr>
            <w:tcW w:w="2268" w:type="dxa"/>
          </w:tcPr>
          <w:p>
            <w:pPr>
              <w:pStyle w:val="TableParagraph"/>
              <w:ind w:left="0"/>
              <w:rPr>
                <w:rFonts w:ascii="Times New Roman"/>
                <w:sz w:val="16"/>
              </w:rPr>
            </w:pPr>
          </w:p>
        </w:tc>
      </w:tr>
      <w:tr>
        <w:trPr>
          <w:trHeight w:val="234" w:hRule="atLeast"/>
        </w:trPr>
        <w:tc>
          <w:tcPr>
            <w:tcW w:w="1277" w:type="dxa"/>
          </w:tcPr>
          <w:p>
            <w:pPr>
              <w:pStyle w:val="TableParagraph"/>
              <w:spacing w:line="189" w:lineRule="exact" w:before="25"/>
              <w:rPr>
                <w:sz w:val="18"/>
              </w:rPr>
            </w:pPr>
            <w:r>
              <w:rPr>
                <w:sz w:val="18"/>
              </w:rPr>
              <w:t>T5</w:t>
            </w:r>
          </w:p>
        </w:tc>
        <w:tc>
          <w:tcPr>
            <w:tcW w:w="6094" w:type="dxa"/>
          </w:tcPr>
          <w:p>
            <w:pPr>
              <w:pStyle w:val="TableParagraph"/>
              <w:spacing w:line="189" w:lineRule="exact" w:before="25"/>
              <w:rPr>
                <w:sz w:val="18"/>
              </w:rPr>
            </w:pPr>
            <w:r>
              <w:rPr>
                <w:sz w:val="18"/>
              </w:rPr>
              <w:t>Nadzemní vedení VN 22kV včetně trafostanice TN6</w:t>
            </w:r>
          </w:p>
        </w:tc>
        <w:tc>
          <w:tcPr>
            <w:tcW w:w="2268" w:type="dxa"/>
          </w:tcPr>
          <w:p>
            <w:pPr>
              <w:pStyle w:val="TableParagraph"/>
              <w:ind w:left="0"/>
              <w:rPr>
                <w:rFonts w:ascii="Times New Roman"/>
                <w:sz w:val="16"/>
              </w:rPr>
            </w:pPr>
          </w:p>
        </w:tc>
      </w:tr>
      <w:tr>
        <w:trPr>
          <w:trHeight w:val="234" w:hRule="atLeast"/>
        </w:trPr>
        <w:tc>
          <w:tcPr>
            <w:tcW w:w="1277" w:type="dxa"/>
          </w:tcPr>
          <w:p>
            <w:pPr>
              <w:pStyle w:val="TableParagraph"/>
              <w:spacing w:line="189" w:lineRule="exact" w:before="25"/>
              <w:rPr>
                <w:sz w:val="18"/>
              </w:rPr>
            </w:pPr>
            <w:r>
              <w:rPr>
                <w:sz w:val="18"/>
              </w:rPr>
              <w:t>T6</w:t>
            </w:r>
          </w:p>
        </w:tc>
        <w:tc>
          <w:tcPr>
            <w:tcW w:w="6094" w:type="dxa"/>
          </w:tcPr>
          <w:p>
            <w:pPr>
              <w:pStyle w:val="TableParagraph"/>
              <w:spacing w:line="189" w:lineRule="exact" w:before="25"/>
              <w:rPr>
                <w:sz w:val="18"/>
              </w:rPr>
            </w:pPr>
            <w:r>
              <w:rPr>
                <w:sz w:val="18"/>
              </w:rPr>
              <w:t>Nadzemní vedení VN 22kV včetně trafostanice TN10</w:t>
            </w:r>
          </w:p>
        </w:tc>
        <w:tc>
          <w:tcPr>
            <w:tcW w:w="2268" w:type="dxa"/>
          </w:tcPr>
          <w:p>
            <w:pPr>
              <w:pStyle w:val="TableParagraph"/>
              <w:ind w:left="0"/>
              <w:rPr>
                <w:rFonts w:ascii="Times New Roman"/>
                <w:sz w:val="16"/>
              </w:rPr>
            </w:pPr>
          </w:p>
        </w:tc>
      </w:tr>
      <w:tr>
        <w:trPr>
          <w:trHeight w:val="234" w:hRule="atLeast"/>
        </w:trPr>
        <w:tc>
          <w:tcPr>
            <w:tcW w:w="1277" w:type="dxa"/>
          </w:tcPr>
          <w:p>
            <w:pPr>
              <w:pStyle w:val="TableParagraph"/>
              <w:spacing w:line="189" w:lineRule="exact" w:before="25"/>
              <w:rPr>
                <w:sz w:val="18"/>
              </w:rPr>
            </w:pPr>
            <w:r>
              <w:rPr>
                <w:sz w:val="18"/>
              </w:rPr>
              <w:t>T7</w:t>
            </w:r>
          </w:p>
        </w:tc>
        <w:tc>
          <w:tcPr>
            <w:tcW w:w="6094" w:type="dxa"/>
          </w:tcPr>
          <w:p>
            <w:pPr>
              <w:pStyle w:val="TableParagraph"/>
              <w:spacing w:line="189" w:lineRule="exact" w:before="25"/>
              <w:rPr>
                <w:sz w:val="18"/>
              </w:rPr>
            </w:pPr>
            <w:r>
              <w:rPr>
                <w:sz w:val="18"/>
              </w:rPr>
              <w:t>Nadzemní vedení VN 22kV včetně trafostanice TN5</w:t>
            </w:r>
          </w:p>
        </w:tc>
        <w:tc>
          <w:tcPr>
            <w:tcW w:w="2268" w:type="dxa"/>
          </w:tcPr>
          <w:p>
            <w:pPr>
              <w:pStyle w:val="TableParagraph"/>
              <w:ind w:left="0"/>
              <w:rPr>
                <w:rFonts w:ascii="Times New Roman"/>
                <w:sz w:val="16"/>
              </w:rPr>
            </w:pPr>
          </w:p>
        </w:tc>
      </w:tr>
      <w:tr>
        <w:trPr>
          <w:trHeight w:val="234" w:hRule="atLeast"/>
        </w:trPr>
        <w:tc>
          <w:tcPr>
            <w:tcW w:w="1277" w:type="dxa"/>
          </w:tcPr>
          <w:p>
            <w:pPr>
              <w:pStyle w:val="TableParagraph"/>
              <w:spacing w:line="189" w:lineRule="exact" w:before="25"/>
              <w:rPr>
                <w:sz w:val="18"/>
              </w:rPr>
            </w:pPr>
            <w:r>
              <w:rPr>
                <w:sz w:val="18"/>
              </w:rPr>
              <w:t>T8</w:t>
            </w:r>
          </w:p>
        </w:tc>
        <w:tc>
          <w:tcPr>
            <w:tcW w:w="6094" w:type="dxa"/>
          </w:tcPr>
          <w:p>
            <w:pPr>
              <w:pStyle w:val="TableParagraph"/>
              <w:spacing w:line="189" w:lineRule="exact" w:before="25"/>
              <w:rPr>
                <w:sz w:val="18"/>
              </w:rPr>
            </w:pPr>
            <w:r>
              <w:rPr>
                <w:sz w:val="18"/>
              </w:rPr>
              <w:t>Nadzemní vedení VN 22kV včetně trafostanice TN7</w:t>
            </w:r>
          </w:p>
        </w:tc>
        <w:tc>
          <w:tcPr>
            <w:tcW w:w="2268" w:type="dxa"/>
          </w:tcPr>
          <w:p>
            <w:pPr>
              <w:pStyle w:val="TableParagraph"/>
              <w:ind w:left="0"/>
              <w:rPr>
                <w:rFonts w:ascii="Times New Roman"/>
                <w:sz w:val="16"/>
              </w:rPr>
            </w:pPr>
          </w:p>
        </w:tc>
      </w:tr>
      <w:tr>
        <w:trPr>
          <w:trHeight w:val="234" w:hRule="atLeast"/>
        </w:trPr>
        <w:tc>
          <w:tcPr>
            <w:tcW w:w="1277" w:type="dxa"/>
          </w:tcPr>
          <w:p>
            <w:pPr>
              <w:pStyle w:val="TableParagraph"/>
              <w:spacing w:line="187" w:lineRule="exact" w:before="27"/>
              <w:rPr>
                <w:sz w:val="18"/>
              </w:rPr>
            </w:pPr>
            <w:r>
              <w:rPr>
                <w:sz w:val="18"/>
              </w:rPr>
              <w:t>T9</w:t>
            </w:r>
          </w:p>
        </w:tc>
        <w:tc>
          <w:tcPr>
            <w:tcW w:w="6094" w:type="dxa"/>
          </w:tcPr>
          <w:p>
            <w:pPr>
              <w:pStyle w:val="TableParagraph"/>
              <w:spacing w:line="187" w:lineRule="exact" w:before="27"/>
              <w:rPr>
                <w:sz w:val="18"/>
              </w:rPr>
            </w:pPr>
            <w:r>
              <w:rPr>
                <w:sz w:val="18"/>
              </w:rPr>
              <w:t>Kabelové vedení VN 22kV včetně trafostanice TN4</w:t>
            </w:r>
          </w:p>
        </w:tc>
        <w:tc>
          <w:tcPr>
            <w:tcW w:w="2268" w:type="dxa"/>
          </w:tcPr>
          <w:p>
            <w:pPr>
              <w:pStyle w:val="TableParagraph"/>
              <w:ind w:left="0"/>
              <w:rPr>
                <w:rFonts w:ascii="Times New Roman"/>
                <w:sz w:val="16"/>
              </w:rPr>
            </w:pPr>
          </w:p>
        </w:tc>
      </w:tr>
      <w:tr>
        <w:trPr>
          <w:trHeight w:val="237" w:hRule="atLeast"/>
        </w:trPr>
        <w:tc>
          <w:tcPr>
            <w:tcW w:w="1277" w:type="dxa"/>
          </w:tcPr>
          <w:p>
            <w:pPr>
              <w:pStyle w:val="TableParagraph"/>
              <w:spacing w:line="189" w:lineRule="exact" w:before="27"/>
              <w:rPr>
                <w:sz w:val="18"/>
              </w:rPr>
            </w:pPr>
            <w:r>
              <w:rPr>
                <w:sz w:val="18"/>
              </w:rPr>
              <w:t>T10</w:t>
            </w:r>
          </w:p>
        </w:tc>
        <w:tc>
          <w:tcPr>
            <w:tcW w:w="6094" w:type="dxa"/>
          </w:tcPr>
          <w:p>
            <w:pPr>
              <w:pStyle w:val="TableParagraph"/>
              <w:spacing w:line="189" w:lineRule="exact" w:before="27"/>
              <w:rPr>
                <w:sz w:val="18"/>
              </w:rPr>
            </w:pPr>
            <w:r>
              <w:rPr>
                <w:sz w:val="18"/>
              </w:rPr>
              <w:t>Kabelové vedení VN 22kV včetně trafostanic TN3 a TN625</w:t>
            </w:r>
          </w:p>
        </w:tc>
        <w:tc>
          <w:tcPr>
            <w:tcW w:w="2268" w:type="dxa"/>
          </w:tcPr>
          <w:p>
            <w:pPr>
              <w:pStyle w:val="TableParagraph"/>
              <w:ind w:left="0"/>
              <w:rPr>
                <w:rFonts w:ascii="Times New Roman"/>
                <w:sz w:val="16"/>
              </w:rPr>
            </w:pPr>
          </w:p>
        </w:tc>
      </w:tr>
      <w:tr>
        <w:trPr>
          <w:trHeight w:val="234" w:hRule="atLeast"/>
        </w:trPr>
        <w:tc>
          <w:tcPr>
            <w:tcW w:w="1277" w:type="dxa"/>
          </w:tcPr>
          <w:p>
            <w:pPr>
              <w:pStyle w:val="TableParagraph"/>
              <w:spacing w:line="189" w:lineRule="exact" w:before="25"/>
              <w:rPr>
                <w:sz w:val="18"/>
              </w:rPr>
            </w:pPr>
            <w:r>
              <w:rPr>
                <w:sz w:val="18"/>
              </w:rPr>
              <w:t>T11</w:t>
            </w:r>
          </w:p>
        </w:tc>
        <w:tc>
          <w:tcPr>
            <w:tcW w:w="6094" w:type="dxa"/>
          </w:tcPr>
          <w:p>
            <w:pPr>
              <w:pStyle w:val="TableParagraph"/>
              <w:spacing w:line="189" w:lineRule="exact" w:before="25"/>
              <w:rPr>
                <w:sz w:val="18"/>
              </w:rPr>
            </w:pPr>
            <w:r>
              <w:rPr>
                <w:sz w:val="18"/>
              </w:rPr>
              <w:t>Kabelové vedení VN 22kV</w:t>
            </w:r>
          </w:p>
        </w:tc>
        <w:tc>
          <w:tcPr>
            <w:tcW w:w="2268" w:type="dxa"/>
          </w:tcPr>
          <w:p>
            <w:pPr>
              <w:pStyle w:val="TableParagraph"/>
              <w:ind w:left="0"/>
              <w:rPr>
                <w:rFonts w:ascii="Times New Roman"/>
                <w:sz w:val="16"/>
              </w:rPr>
            </w:pPr>
          </w:p>
        </w:tc>
      </w:tr>
      <w:tr>
        <w:trPr>
          <w:trHeight w:val="234" w:hRule="atLeast"/>
        </w:trPr>
        <w:tc>
          <w:tcPr>
            <w:tcW w:w="1277" w:type="dxa"/>
          </w:tcPr>
          <w:p>
            <w:pPr>
              <w:pStyle w:val="TableParagraph"/>
              <w:spacing w:line="189" w:lineRule="exact" w:before="25"/>
              <w:rPr>
                <w:sz w:val="18"/>
              </w:rPr>
            </w:pPr>
            <w:r>
              <w:rPr>
                <w:sz w:val="18"/>
              </w:rPr>
              <w:t>T12</w:t>
            </w:r>
          </w:p>
        </w:tc>
        <w:tc>
          <w:tcPr>
            <w:tcW w:w="6094" w:type="dxa"/>
          </w:tcPr>
          <w:p>
            <w:pPr>
              <w:pStyle w:val="TableParagraph"/>
              <w:spacing w:line="189" w:lineRule="exact" w:before="25"/>
              <w:rPr>
                <w:sz w:val="18"/>
              </w:rPr>
            </w:pPr>
            <w:r>
              <w:rPr>
                <w:sz w:val="18"/>
              </w:rPr>
              <w:t>Kabelové vedení VN 22kV včetně trafostanice TN8</w:t>
            </w:r>
          </w:p>
        </w:tc>
        <w:tc>
          <w:tcPr>
            <w:tcW w:w="2268" w:type="dxa"/>
          </w:tcPr>
          <w:p>
            <w:pPr>
              <w:pStyle w:val="TableParagraph"/>
              <w:ind w:left="0"/>
              <w:rPr>
                <w:rFonts w:ascii="Times New Roman"/>
                <w:sz w:val="16"/>
              </w:rPr>
            </w:pPr>
          </w:p>
        </w:tc>
      </w:tr>
      <w:tr>
        <w:trPr>
          <w:trHeight w:val="234" w:hRule="atLeast"/>
        </w:trPr>
        <w:tc>
          <w:tcPr>
            <w:tcW w:w="1277" w:type="dxa"/>
          </w:tcPr>
          <w:p>
            <w:pPr>
              <w:pStyle w:val="TableParagraph"/>
              <w:spacing w:line="189" w:lineRule="exact" w:before="25"/>
              <w:rPr>
                <w:sz w:val="18"/>
              </w:rPr>
            </w:pPr>
            <w:r>
              <w:rPr>
                <w:sz w:val="18"/>
              </w:rPr>
              <w:t>T13</w:t>
            </w:r>
          </w:p>
        </w:tc>
        <w:tc>
          <w:tcPr>
            <w:tcW w:w="6094" w:type="dxa"/>
          </w:tcPr>
          <w:p>
            <w:pPr>
              <w:pStyle w:val="TableParagraph"/>
              <w:spacing w:line="189" w:lineRule="exact" w:before="25"/>
              <w:rPr>
                <w:sz w:val="18"/>
              </w:rPr>
            </w:pPr>
            <w:r>
              <w:rPr>
                <w:sz w:val="18"/>
              </w:rPr>
              <w:t>Teplovodní rozvod – propojení systémů zásobování teplem</w:t>
            </w:r>
          </w:p>
        </w:tc>
        <w:tc>
          <w:tcPr>
            <w:tcW w:w="2268" w:type="dxa"/>
          </w:tcPr>
          <w:p>
            <w:pPr>
              <w:pStyle w:val="TableParagraph"/>
              <w:ind w:left="0"/>
              <w:rPr>
                <w:rFonts w:ascii="Times New Roman"/>
                <w:sz w:val="16"/>
              </w:rPr>
            </w:pPr>
          </w:p>
        </w:tc>
      </w:tr>
      <w:tr>
        <w:trPr>
          <w:trHeight w:val="234" w:hRule="atLeast"/>
        </w:trPr>
        <w:tc>
          <w:tcPr>
            <w:tcW w:w="1277" w:type="dxa"/>
          </w:tcPr>
          <w:p>
            <w:pPr>
              <w:pStyle w:val="TableParagraph"/>
              <w:spacing w:line="189" w:lineRule="exact" w:before="25"/>
              <w:rPr>
                <w:sz w:val="18"/>
              </w:rPr>
            </w:pPr>
            <w:r>
              <w:rPr>
                <w:sz w:val="18"/>
              </w:rPr>
              <w:t>T14</w:t>
            </w:r>
          </w:p>
        </w:tc>
        <w:tc>
          <w:tcPr>
            <w:tcW w:w="6094" w:type="dxa"/>
          </w:tcPr>
          <w:p>
            <w:pPr>
              <w:pStyle w:val="TableParagraph"/>
              <w:spacing w:line="189" w:lineRule="exact" w:before="25"/>
              <w:rPr>
                <w:sz w:val="18"/>
              </w:rPr>
            </w:pPr>
            <w:r>
              <w:rPr>
                <w:sz w:val="18"/>
              </w:rPr>
              <w:t>Úprava teplovodního rozvodu na sídlišti Střelecký vrch</w:t>
            </w:r>
          </w:p>
        </w:tc>
        <w:tc>
          <w:tcPr>
            <w:tcW w:w="2268" w:type="dxa"/>
          </w:tcPr>
          <w:p>
            <w:pPr>
              <w:pStyle w:val="TableParagraph"/>
              <w:ind w:left="0"/>
              <w:rPr>
                <w:rFonts w:ascii="Times New Roman"/>
                <w:sz w:val="16"/>
              </w:rPr>
            </w:pPr>
          </w:p>
        </w:tc>
      </w:tr>
    </w:tbl>
    <w:p>
      <w:pPr>
        <w:pStyle w:val="BodyText"/>
        <w:spacing w:before="4"/>
        <w:ind w:left="0" w:firstLine="0"/>
        <w:jc w:val="left"/>
        <w:rPr>
          <w:b/>
          <w:sz w:val="20"/>
        </w:rPr>
      </w:pPr>
    </w:p>
    <w:p>
      <w:pPr>
        <w:tabs>
          <w:tab w:pos="1024" w:val="left" w:leader="none"/>
        </w:tabs>
        <w:spacing w:before="0" w:after="5"/>
        <w:ind w:left="172" w:right="0" w:firstLine="0"/>
        <w:jc w:val="left"/>
        <w:rPr>
          <w:sz w:val="18"/>
        </w:rPr>
      </w:pPr>
      <w:r>
        <w:rPr>
          <w:b/>
          <w:sz w:val="18"/>
        </w:rPr>
        <w:t>Tab.:</w:t>
        <w:tab/>
        <w:t>Veřejně prospěšné stavby a opatření-snižování ohrožení území povodněmi </w:t>
      </w:r>
      <w:r>
        <w:rPr>
          <w:sz w:val="18"/>
        </w:rPr>
        <w:t>(zpřesnění koridorů ZÚR</w:t>
      </w:r>
      <w:r>
        <w:rPr>
          <w:spacing w:val="-33"/>
          <w:sz w:val="18"/>
        </w:rPr>
        <w:t> </w:t>
      </w:r>
      <w:r>
        <w:rPr>
          <w:sz w:val="18"/>
        </w:rPr>
        <w:t>LK)</w:t>
      </w:r>
    </w:p>
    <w:tbl>
      <w:tblPr>
        <w:tblW w:w="0" w:type="auto"/>
        <w:jc w:val="left"/>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91"/>
        <w:gridCol w:w="6093"/>
        <w:gridCol w:w="2267"/>
      </w:tblGrid>
      <w:tr>
        <w:trPr>
          <w:trHeight w:val="342" w:hRule="atLeast"/>
        </w:trPr>
        <w:tc>
          <w:tcPr>
            <w:tcW w:w="1291" w:type="dxa"/>
            <w:shd w:val="clear" w:color="auto" w:fill="CCFFFF"/>
          </w:tcPr>
          <w:p>
            <w:pPr>
              <w:pStyle w:val="TableParagraph"/>
              <w:spacing w:before="111"/>
              <w:ind w:left="69"/>
              <w:rPr>
                <w:b/>
                <w:sz w:val="18"/>
              </w:rPr>
            </w:pPr>
            <w:r>
              <w:rPr>
                <w:b/>
                <w:sz w:val="18"/>
              </w:rPr>
              <w:t>VPS číslo</w:t>
            </w:r>
          </w:p>
        </w:tc>
        <w:tc>
          <w:tcPr>
            <w:tcW w:w="6093" w:type="dxa"/>
            <w:shd w:val="clear" w:color="auto" w:fill="CCFFFF"/>
          </w:tcPr>
          <w:p>
            <w:pPr>
              <w:pStyle w:val="TableParagraph"/>
              <w:spacing w:before="61"/>
              <w:ind w:left="69"/>
              <w:rPr>
                <w:b/>
                <w:sz w:val="18"/>
              </w:rPr>
            </w:pPr>
            <w:r>
              <w:rPr>
                <w:b/>
                <w:sz w:val="18"/>
              </w:rPr>
              <w:t>umístění / účel</w:t>
            </w:r>
          </w:p>
        </w:tc>
        <w:tc>
          <w:tcPr>
            <w:tcW w:w="2267" w:type="dxa"/>
            <w:shd w:val="clear" w:color="auto" w:fill="CCFFFF"/>
          </w:tcPr>
          <w:p>
            <w:pPr>
              <w:pStyle w:val="TableParagraph"/>
              <w:spacing w:before="61"/>
              <w:ind w:left="696"/>
              <w:rPr>
                <w:b/>
                <w:sz w:val="18"/>
              </w:rPr>
            </w:pPr>
            <w:r>
              <w:rPr>
                <w:b/>
                <w:sz w:val="18"/>
              </w:rPr>
              <w:t>poznámka</w:t>
            </w:r>
          </w:p>
        </w:tc>
      </w:tr>
      <w:tr>
        <w:trPr>
          <w:trHeight w:val="205" w:hRule="atLeast"/>
        </w:trPr>
        <w:tc>
          <w:tcPr>
            <w:tcW w:w="1291" w:type="dxa"/>
          </w:tcPr>
          <w:p>
            <w:pPr>
              <w:pStyle w:val="TableParagraph"/>
              <w:spacing w:line="186" w:lineRule="exact"/>
              <w:ind w:left="69"/>
              <w:rPr>
                <w:sz w:val="18"/>
              </w:rPr>
            </w:pPr>
            <w:r>
              <w:rPr>
                <w:sz w:val="18"/>
              </w:rPr>
              <w:t>PO9</w:t>
            </w:r>
          </w:p>
        </w:tc>
        <w:tc>
          <w:tcPr>
            <w:tcW w:w="6093" w:type="dxa"/>
          </w:tcPr>
          <w:p>
            <w:pPr>
              <w:pStyle w:val="TableParagraph"/>
              <w:spacing w:line="186" w:lineRule="exact"/>
              <w:ind w:left="69"/>
              <w:rPr>
                <w:sz w:val="18"/>
              </w:rPr>
            </w:pPr>
            <w:r>
              <w:rPr>
                <w:sz w:val="18"/>
              </w:rPr>
              <w:t>Koridor protipovodňových opatření na Lužické Nise</w:t>
            </w:r>
          </w:p>
        </w:tc>
        <w:tc>
          <w:tcPr>
            <w:tcW w:w="2267" w:type="dxa"/>
          </w:tcPr>
          <w:p>
            <w:pPr>
              <w:pStyle w:val="TableParagraph"/>
              <w:ind w:left="0"/>
              <w:rPr>
                <w:rFonts w:ascii="Times New Roman"/>
                <w:sz w:val="14"/>
              </w:rPr>
            </w:pPr>
          </w:p>
        </w:tc>
      </w:tr>
    </w:tbl>
    <w:p>
      <w:pPr>
        <w:spacing w:after="0"/>
        <w:rPr>
          <w:rFonts w:ascii="Times New Roman"/>
          <w:sz w:val="14"/>
        </w:rPr>
        <w:sectPr>
          <w:headerReference w:type="default" r:id="rId22"/>
          <w:footerReference w:type="default" r:id="rId23"/>
          <w:pgSz w:w="11900" w:h="16840"/>
          <w:pgMar w:header="557" w:footer="582" w:top="760" w:bottom="780" w:left="960" w:right="980"/>
          <w:pgNumType w:start="70"/>
        </w:sectPr>
      </w:pPr>
    </w:p>
    <w:p>
      <w:pPr>
        <w:pStyle w:val="BodyText"/>
        <w:spacing w:before="1"/>
        <w:ind w:left="0" w:firstLine="0"/>
        <w:jc w:val="left"/>
      </w:pPr>
    </w:p>
    <w:p>
      <w:pPr>
        <w:tabs>
          <w:tab w:pos="1024" w:val="left" w:leader="none"/>
        </w:tabs>
        <w:spacing w:before="100" w:after="8"/>
        <w:ind w:left="172" w:right="0" w:firstLine="0"/>
        <w:jc w:val="left"/>
        <w:rPr>
          <w:sz w:val="18"/>
        </w:rPr>
      </w:pPr>
      <w:r>
        <w:rPr>
          <w:b/>
          <w:sz w:val="18"/>
        </w:rPr>
        <w:t>Tab.:</w:t>
        <w:tab/>
        <w:t>Veřejně prospěšné stavby a opatření - multifunkční turistické koridory </w:t>
      </w:r>
      <w:r>
        <w:rPr>
          <w:sz w:val="18"/>
        </w:rPr>
        <w:t>(zpřesnění koridorů ZÚR</w:t>
      </w:r>
      <w:r>
        <w:rPr>
          <w:spacing w:val="-25"/>
          <w:sz w:val="18"/>
        </w:rPr>
        <w:t> </w:t>
      </w:r>
      <w:r>
        <w:rPr>
          <w:sz w:val="18"/>
        </w:rPr>
        <w:t>LK)</w:t>
      </w: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7"/>
        <w:gridCol w:w="6094"/>
        <w:gridCol w:w="2268"/>
      </w:tblGrid>
      <w:tr>
        <w:trPr>
          <w:trHeight w:val="265" w:hRule="atLeast"/>
        </w:trPr>
        <w:tc>
          <w:tcPr>
            <w:tcW w:w="1277" w:type="dxa"/>
            <w:shd w:val="clear" w:color="auto" w:fill="CCFFFF"/>
          </w:tcPr>
          <w:p>
            <w:pPr>
              <w:pStyle w:val="TableParagraph"/>
              <w:spacing w:before="35"/>
              <w:ind w:left="71"/>
              <w:rPr>
                <w:b/>
                <w:sz w:val="18"/>
              </w:rPr>
            </w:pPr>
            <w:r>
              <w:rPr>
                <w:b/>
                <w:sz w:val="18"/>
              </w:rPr>
              <w:t>VPO číslo</w:t>
            </w:r>
          </w:p>
        </w:tc>
        <w:tc>
          <w:tcPr>
            <w:tcW w:w="6094" w:type="dxa"/>
            <w:shd w:val="clear" w:color="auto" w:fill="CCFFFF"/>
          </w:tcPr>
          <w:p>
            <w:pPr>
              <w:pStyle w:val="TableParagraph"/>
              <w:spacing w:before="35"/>
              <w:ind w:left="71"/>
              <w:rPr>
                <w:b/>
                <w:sz w:val="18"/>
              </w:rPr>
            </w:pPr>
            <w:r>
              <w:rPr>
                <w:b/>
                <w:sz w:val="18"/>
              </w:rPr>
              <w:t>umístění / účel</w:t>
            </w:r>
          </w:p>
        </w:tc>
        <w:tc>
          <w:tcPr>
            <w:tcW w:w="2268" w:type="dxa"/>
            <w:shd w:val="clear" w:color="auto" w:fill="CCFFFF"/>
          </w:tcPr>
          <w:p>
            <w:pPr>
              <w:pStyle w:val="TableParagraph"/>
              <w:spacing w:before="35"/>
              <w:ind w:left="692"/>
              <w:rPr>
                <w:b/>
                <w:sz w:val="18"/>
              </w:rPr>
            </w:pPr>
            <w:r>
              <w:rPr>
                <w:b/>
                <w:sz w:val="18"/>
              </w:rPr>
              <w:t>poznámka</w:t>
            </w:r>
          </w:p>
        </w:tc>
      </w:tr>
      <w:tr>
        <w:trPr>
          <w:trHeight w:val="208" w:hRule="atLeast"/>
        </w:trPr>
        <w:tc>
          <w:tcPr>
            <w:tcW w:w="1277" w:type="dxa"/>
          </w:tcPr>
          <w:p>
            <w:pPr>
              <w:pStyle w:val="TableParagraph"/>
              <w:spacing w:line="188" w:lineRule="exact"/>
              <w:rPr>
                <w:sz w:val="18"/>
              </w:rPr>
            </w:pPr>
            <w:r>
              <w:rPr>
                <w:sz w:val="18"/>
              </w:rPr>
              <w:t>D40</w:t>
            </w:r>
          </w:p>
        </w:tc>
        <w:tc>
          <w:tcPr>
            <w:tcW w:w="6094" w:type="dxa"/>
          </w:tcPr>
          <w:p>
            <w:pPr>
              <w:pStyle w:val="TableParagraph"/>
              <w:spacing w:line="188" w:lineRule="exact"/>
              <w:rPr>
                <w:sz w:val="18"/>
              </w:rPr>
            </w:pPr>
            <w:r>
              <w:rPr>
                <w:sz w:val="18"/>
              </w:rPr>
              <w:t>MTK Lužická Nisa - cyklotrasa Odra-Nisa</w:t>
            </w:r>
          </w:p>
        </w:tc>
        <w:tc>
          <w:tcPr>
            <w:tcW w:w="2268" w:type="dxa"/>
          </w:tcPr>
          <w:p>
            <w:pPr>
              <w:pStyle w:val="TableParagraph"/>
              <w:ind w:left="0"/>
              <w:rPr>
                <w:rFonts w:ascii="Times New Roman"/>
                <w:sz w:val="14"/>
              </w:rPr>
            </w:pPr>
          </w:p>
        </w:tc>
      </w:tr>
      <w:tr>
        <w:trPr>
          <w:trHeight w:val="205" w:hRule="atLeast"/>
        </w:trPr>
        <w:tc>
          <w:tcPr>
            <w:tcW w:w="1277" w:type="dxa"/>
          </w:tcPr>
          <w:p>
            <w:pPr>
              <w:pStyle w:val="TableParagraph"/>
              <w:spacing w:line="186" w:lineRule="exact"/>
              <w:rPr>
                <w:sz w:val="18"/>
              </w:rPr>
            </w:pPr>
            <w:r>
              <w:rPr>
                <w:sz w:val="18"/>
              </w:rPr>
              <w:t>D42</w:t>
            </w:r>
          </w:p>
        </w:tc>
        <w:tc>
          <w:tcPr>
            <w:tcW w:w="6094" w:type="dxa"/>
          </w:tcPr>
          <w:p>
            <w:pPr>
              <w:pStyle w:val="TableParagraph"/>
              <w:spacing w:line="186" w:lineRule="exact"/>
              <w:rPr>
                <w:sz w:val="18"/>
              </w:rPr>
            </w:pPr>
            <w:r>
              <w:rPr>
                <w:sz w:val="18"/>
              </w:rPr>
              <w:t>MTK Nová Hřebenovka</w:t>
            </w:r>
          </w:p>
        </w:tc>
        <w:tc>
          <w:tcPr>
            <w:tcW w:w="2268" w:type="dxa"/>
          </w:tcPr>
          <w:p>
            <w:pPr>
              <w:pStyle w:val="TableParagraph"/>
              <w:ind w:left="0"/>
              <w:rPr>
                <w:rFonts w:ascii="Times New Roman"/>
                <w:sz w:val="14"/>
              </w:rPr>
            </w:pPr>
          </w:p>
        </w:tc>
      </w:tr>
    </w:tbl>
    <w:p>
      <w:pPr>
        <w:pStyle w:val="BodyText"/>
        <w:spacing w:before="4"/>
        <w:ind w:left="0" w:firstLine="0"/>
        <w:jc w:val="left"/>
        <w:rPr>
          <w:sz w:val="20"/>
        </w:rPr>
      </w:pPr>
    </w:p>
    <w:p>
      <w:pPr>
        <w:tabs>
          <w:tab w:pos="1024" w:val="left" w:leader="none"/>
        </w:tabs>
        <w:spacing w:before="0" w:after="5"/>
        <w:ind w:left="172" w:right="0" w:firstLine="0"/>
        <w:jc w:val="left"/>
        <w:rPr>
          <w:b/>
          <w:sz w:val="18"/>
        </w:rPr>
      </w:pPr>
      <w:r>
        <w:rPr>
          <w:b/>
          <w:sz w:val="18"/>
        </w:rPr>
        <w:t>Tab.:</w:t>
        <w:tab/>
        <w:t>Veřejně prospěšná opatření – založení / dotvoření prvků</w:t>
      </w:r>
      <w:r>
        <w:rPr>
          <w:b/>
          <w:spacing w:val="-4"/>
          <w:sz w:val="18"/>
        </w:rPr>
        <w:t> </w:t>
      </w:r>
      <w:r>
        <w:rPr>
          <w:b/>
          <w:sz w:val="18"/>
        </w:rPr>
        <w:t>ÚSES</w:t>
      </w: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7"/>
        <w:gridCol w:w="3259"/>
        <w:gridCol w:w="2834"/>
        <w:gridCol w:w="2268"/>
      </w:tblGrid>
      <w:tr>
        <w:trPr>
          <w:trHeight w:val="268" w:hRule="atLeast"/>
        </w:trPr>
        <w:tc>
          <w:tcPr>
            <w:tcW w:w="1277" w:type="dxa"/>
            <w:shd w:val="clear" w:color="auto" w:fill="CCFFFF"/>
          </w:tcPr>
          <w:p>
            <w:pPr>
              <w:pStyle w:val="TableParagraph"/>
              <w:spacing w:before="37"/>
              <w:ind w:left="71"/>
              <w:rPr>
                <w:b/>
                <w:sz w:val="18"/>
              </w:rPr>
            </w:pPr>
            <w:r>
              <w:rPr>
                <w:b/>
                <w:sz w:val="18"/>
              </w:rPr>
              <w:t>VPO číslo</w:t>
            </w:r>
          </w:p>
        </w:tc>
        <w:tc>
          <w:tcPr>
            <w:tcW w:w="3259" w:type="dxa"/>
            <w:shd w:val="clear" w:color="auto" w:fill="CCFFFF"/>
          </w:tcPr>
          <w:p>
            <w:pPr>
              <w:pStyle w:val="TableParagraph"/>
              <w:spacing w:before="37"/>
              <w:ind w:left="71"/>
              <w:rPr>
                <w:b/>
                <w:sz w:val="18"/>
              </w:rPr>
            </w:pPr>
            <w:r>
              <w:rPr>
                <w:b/>
                <w:sz w:val="18"/>
              </w:rPr>
              <w:t>prvek ÚSES</w:t>
            </w:r>
          </w:p>
        </w:tc>
        <w:tc>
          <w:tcPr>
            <w:tcW w:w="2834" w:type="dxa"/>
            <w:shd w:val="clear" w:color="auto" w:fill="CCFFFF"/>
          </w:tcPr>
          <w:p>
            <w:pPr>
              <w:pStyle w:val="TableParagraph"/>
              <w:spacing w:before="37"/>
              <w:ind w:left="71"/>
              <w:rPr>
                <w:b/>
                <w:sz w:val="18"/>
              </w:rPr>
            </w:pPr>
            <w:r>
              <w:rPr>
                <w:b/>
                <w:sz w:val="18"/>
              </w:rPr>
              <w:t>převažující využití ploch dle ÚP</w:t>
            </w:r>
          </w:p>
        </w:tc>
        <w:tc>
          <w:tcPr>
            <w:tcW w:w="2268" w:type="dxa"/>
            <w:shd w:val="clear" w:color="auto" w:fill="CCFFFF"/>
          </w:tcPr>
          <w:p>
            <w:pPr>
              <w:pStyle w:val="TableParagraph"/>
              <w:spacing w:before="37"/>
              <w:ind w:left="693"/>
              <w:rPr>
                <w:b/>
                <w:sz w:val="18"/>
              </w:rPr>
            </w:pPr>
            <w:r>
              <w:rPr>
                <w:b/>
                <w:sz w:val="18"/>
              </w:rPr>
              <w:t>poznámka</w:t>
            </w:r>
          </w:p>
        </w:tc>
      </w:tr>
      <w:tr>
        <w:trPr>
          <w:trHeight w:val="234" w:hRule="atLeast"/>
        </w:trPr>
        <w:tc>
          <w:tcPr>
            <w:tcW w:w="1277" w:type="dxa"/>
          </w:tcPr>
          <w:p>
            <w:pPr>
              <w:pStyle w:val="TableParagraph"/>
              <w:spacing w:line="189" w:lineRule="exact" w:before="25"/>
              <w:rPr>
                <w:sz w:val="18"/>
              </w:rPr>
            </w:pPr>
            <w:r>
              <w:rPr>
                <w:sz w:val="18"/>
              </w:rPr>
              <w:t>VPO 1</w:t>
            </w:r>
          </w:p>
        </w:tc>
        <w:tc>
          <w:tcPr>
            <w:tcW w:w="3259" w:type="dxa"/>
          </w:tcPr>
          <w:p>
            <w:pPr>
              <w:pStyle w:val="TableParagraph"/>
              <w:spacing w:line="189" w:lineRule="exact" w:before="25"/>
              <w:rPr>
                <w:sz w:val="18"/>
              </w:rPr>
            </w:pPr>
            <w:r>
              <w:rPr>
                <w:sz w:val="18"/>
              </w:rPr>
              <w:t>rozšíření BC 1254 část</w:t>
            </w:r>
          </w:p>
        </w:tc>
        <w:tc>
          <w:tcPr>
            <w:tcW w:w="2834" w:type="dxa"/>
          </w:tcPr>
          <w:p>
            <w:pPr>
              <w:pStyle w:val="TableParagraph"/>
              <w:spacing w:line="201" w:lineRule="exact" w:before="13"/>
              <w:rPr>
                <w:sz w:val="18"/>
              </w:rPr>
            </w:pPr>
            <w:r>
              <w:rPr>
                <w:w w:val="99"/>
                <w:sz w:val="18"/>
              </w:rPr>
              <w:t>K</w:t>
            </w:r>
          </w:p>
        </w:tc>
        <w:tc>
          <w:tcPr>
            <w:tcW w:w="2268" w:type="dxa"/>
          </w:tcPr>
          <w:p>
            <w:pPr>
              <w:pStyle w:val="TableParagraph"/>
              <w:spacing w:line="201" w:lineRule="exact" w:before="13"/>
              <w:ind w:left="72"/>
              <w:rPr>
                <w:sz w:val="18"/>
              </w:rPr>
            </w:pPr>
            <w:r>
              <w:rPr>
                <w:sz w:val="18"/>
              </w:rPr>
              <w:t>plocha 86.N</w:t>
            </w:r>
          </w:p>
        </w:tc>
      </w:tr>
      <w:tr>
        <w:trPr>
          <w:trHeight w:val="234" w:hRule="atLeast"/>
        </w:trPr>
        <w:tc>
          <w:tcPr>
            <w:tcW w:w="1277" w:type="dxa"/>
          </w:tcPr>
          <w:p>
            <w:pPr>
              <w:pStyle w:val="TableParagraph"/>
              <w:spacing w:line="189" w:lineRule="exact" w:before="25"/>
              <w:rPr>
                <w:sz w:val="18"/>
              </w:rPr>
            </w:pPr>
            <w:r>
              <w:rPr>
                <w:sz w:val="18"/>
              </w:rPr>
              <w:t>VPO 2</w:t>
            </w:r>
          </w:p>
        </w:tc>
        <w:tc>
          <w:tcPr>
            <w:tcW w:w="3259" w:type="dxa"/>
          </w:tcPr>
          <w:p>
            <w:pPr>
              <w:pStyle w:val="TableParagraph"/>
              <w:spacing w:line="189" w:lineRule="exact" w:before="25"/>
              <w:rPr>
                <w:sz w:val="18"/>
              </w:rPr>
            </w:pPr>
            <w:r>
              <w:rPr>
                <w:sz w:val="18"/>
              </w:rPr>
              <w:t>založení BK 1254/1405 část</w:t>
            </w:r>
          </w:p>
        </w:tc>
        <w:tc>
          <w:tcPr>
            <w:tcW w:w="2834" w:type="dxa"/>
          </w:tcPr>
          <w:p>
            <w:pPr>
              <w:pStyle w:val="TableParagraph"/>
              <w:spacing w:line="201" w:lineRule="exact" w:before="13"/>
              <w:rPr>
                <w:sz w:val="18"/>
              </w:rPr>
            </w:pPr>
            <w:r>
              <w:rPr>
                <w:w w:val="99"/>
                <w:sz w:val="18"/>
              </w:rPr>
              <w:t>K</w:t>
            </w:r>
          </w:p>
        </w:tc>
        <w:tc>
          <w:tcPr>
            <w:tcW w:w="2268" w:type="dxa"/>
          </w:tcPr>
          <w:p>
            <w:pPr>
              <w:pStyle w:val="TableParagraph"/>
              <w:ind w:left="0"/>
              <w:rPr>
                <w:rFonts w:ascii="Times New Roman"/>
                <w:sz w:val="16"/>
              </w:rPr>
            </w:pPr>
          </w:p>
        </w:tc>
      </w:tr>
      <w:tr>
        <w:trPr>
          <w:trHeight w:val="234" w:hRule="atLeast"/>
        </w:trPr>
        <w:tc>
          <w:tcPr>
            <w:tcW w:w="1277" w:type="dxa"/>
          </w:tcPr>
          <w:p>
            <w:pPr>
              <w:pStyle w:val="TableParagraph"/>
              <w:spacing w:line="189" w:lineRule="exact" w:before="25"/>
              <w:rPr>
                <w:sz w:val="18"/>
              </w:rPr>
            </w:pPr>
            <w:r>
              <w:rPr>
                <w:sz w:val="18"/>
              </w:rPr>
              <w:t>VPO 3</w:t>
            </w:r>
          </w:p>
        </w:tc>
        <w:tc>
          <w:tcPr>
            <w:tcW w:w="3259" w:type="dxa"/>
          </w:tcPr>
          <w:p>
            <w:pPr>
              <w:pStyle w:val="TableParagraph"/>
              <w:spacing w:line="189" w:lineRule="exact" w:before="25"/>
              <w:rPr>
                <w:sz w:val="18"/>
              </w:rPr>
            </w:pPr>
            <w:r>
              <w:rPr>
                <w:sz w:val="18"/>
              </w:rPr>
              <w:t>založení BK 1248/1249</w:t>
            </w:r>
          </w:p>
        </w:tc>
        <w:tc>
          <w:tcPr>
            <w:tcW w:w="2834" w:type="dxa"/>
          </w:tcPr>
          <w:p>
            <w:pPr>
              <w:pStyle w:val="TableParagraph"/>
              <w:spacing w:line="201" w:lineRule="exact" w:before="13"/>
              <w:rPr>
                <w:sz w:val="18"/>
              </w:rPr>
            </w:pPr>
            <w:r>
              <w:rPr>
                <w:w w:val="99"/>
                <w:sz w:val="18"/>
              </w:rPr>
              <w:t>K</w:t>
            </w:r>
          </w:p>
        </w:tc>
        <w:tc>
          <w:tcPr>
            <w:tcW w:w="2268" w:type="dxa"/>
          </w:tcPr>
          <w:p>
            <w:pPr>
              <w:pStyle w:val="TableParagraph"/>
              <w:ind w:left="0"/>
              <w:rPr>
                <w:rFonts w:ascii="Times New Roman"/>
                <w:sz w:val="16"/>
              </w:rPr>
            </w:pPr>
          </w:p>
        </w:tc>
      </w:tr>
      <w:tr>
        <w:trPr>
          <w:trHeight w:val="234" w:hRule="atLeast"/>
        </w:trPr>
        <w:tc>
          <w:tcPr>
            <w:tcW w:w="1277" w:type="dxa"/>
          </w:tcPr>
          <w:p>
            <w:pPr>
              <w:pStyle w:val="TableParagraph"/>
              <w:spacing w:line="189" w:lineRule="exact" w:before="25"/>
              <w:rPr>
                <w:sz w:val="18"/>
              </w:rPr>
            </w:pPr>
            <w:r>
              <w:rPr>
                <w:sz w:val="18"/>
              </w:rPr>
              <w:t>VPO 4</w:t>
            </w:r>
          </w:p>
        </w:tc>
        <w:tc>
          <w:tcPr>
            <w:tcW w:w="3259" w:type="dxa"/>
          </w:tcPr>
          <w:p>
            <w:pPr>
              <w:pStyle w:val="TableParagraph"/>
              <w:spacing w:line="189" w:lineRule="exact" w:before="25"/>
              <w:rPr>
                <w:sz w:val="18"/>
              </w:rPr>
            </w:pPr>
            <w:r>
              <w:rPr>
                <w:sz w:val="18"/>
              </w:rPr>
              <w:t>založení BK 1403/1249/1248 část</w:t>
            </w:r>
          </w:p>
        </w:tc>
        <w:tc>
          <w:tcPr>
            <w:tcW w:w="2834" w:type="dxa"/>
          </w:tcPr>
          <w:p>
            <w:pPr>
              <w:pStyle w:val="TableParagraph"/>
              <w:spacing w:line="201" w:lineRule="exact" w:before="13"/>
              <w:rPr>
                <w:sz w:val="18"/>
              </w:rPr>
            </w:pPr>
            <w:r>
              <w:rPr>
                <w:w w:val="99"/>
                <w:sz w:val="18"/>
              </w:rPr>
              <w:t>K</w:t>
            </w:r>
          </w:p>
        </w:tc>
        <w:tc>
          <w:tcPr>
            <w:tcW w:w="2268" w:type="dxa"/>
          </w:tcPr>
          <w:p>
            <w:pPr>
              <w:pStyle w:val="TableParagraph"/>
              <w:ind w:left="0"/>
              <w:rPr>
                <w:rFonts w:ascii="Times New Roman"/>
                <w:sz w:val="16"/>
              </w:rPr>
            </w:pPr>
          </w:p>
        </w:tc>
      </w:tr>
      <w:tr>
        <w:trPr>
          <w:trHeight w:val="234" w:hRule="atLeast"/>
        </w:trPr>
        <w:tc>
          <w:tcPr>
            <w:tcW w:w="1277" w:type="dxa"/>
          </w:tcPr>
          <w:p>
            <w:pPr>
              <w:pStyle w:val="TableParagraph"/>
              <w:spacing w:line="189" w:lineRule="exact" w:before="25"/>
              <w:rPr>
                <w:sz w:val="18"/>
              </w:rPr>
            </w:pPr>
            <w:r>
              <w:rPr>
                <w:sz w:val="18"/>
              </w:rPr>
              <w:t>VPO 5</w:t>
            </w:r>
          </w:p>
        </w:tc>
        <w:tc>
          <w:tcPr>
            <w:tcW w:w="3259" w:type="dxa"/>
          </w:tcPr>
          <w:p>
            <w:pPr>
              <w:pStyle w:val="TableParagraph"/>
              <w:spacing w:line="189" w:lineRule="exact" w:before="25"/>
              <w:rPr>
                <w:sz w:val="18"/>
              </w:rPr>
            </w:pPr>
            <w:r>
              <w:rPr>
                <w:sz w:val="18"/>
              </w:rPr>
              <w:t>založení BK 1251/1252 část</w:t>
            </w:r>
          </w:p>
        </w:tc>
        <w:tc>
          <w:tcPr>
            <w:tcW w:w="2834" w:type="dxa"/>
          </w:tcPr>
          <w:p>
            <w:pPr>
              <w:pStyle w:val="TableParagraph"/>
              <w:spacing w:line="201" w:lineRule="exact" w:before="13"/>
              <w:rPr>
                <w:sz w:val="18"/>
              </w:rPr>
            </w:pPr>
            <w:r>
              <w:rPr>
                <w:w w:val="99"/>
                <w:sz w:val="18"/>
              </w:rPr>
              <w:t>K</w:t>
            </w:r>
          </w:p>
        </w:tc>
        <w:tc>
          <w:tcPr>
            <w:tcW w:w="2268" w:type="dxa"/>
          </w:tcPr>
          <w:p>
            <w:pPr>
              <w:pStyle w:val="TableParagraph"/>
              <w:ind w:left="0"/>
              <w:rPr>
                <w:rFonts w:ascii="Times New Roman"/>
                <w:sz w:val="16"/>
              </w:rPr>
            </w:pPr>
          </w:p>
        </w:tc>
      </w:tr>
    </w:tbl>
    <w:p>
      <w:pPr>
        <w:pStyle w:val="BodyText"/>
        <w:spacing w:before="4"/>
        <w:ind w:left="0" w:firstLine="0"/>
        <w:jc w:val="left"/>
        <w:rPr>
          <w:b/>
          <w:sz w:val="20"/>
        </w:rPr>
      </w:pPr>
    </w:p>
    <w:p>
      <w:pPr>
        <w:tabs>
          <w:tab w:pos="1024" w:val="left" w:leader="none"/>
        </w:tabs>
        <w:spacing w:before="0"/>
        <w:ind w:left="172" w:right="0" w:firstLine="0"/>
        <w:jc w:val="left"/>
        <w:rPr>
          <w:b/>
          <w:sz w:val="18"/>
        </w:rPr>
      </w:pPr>
      <w:r>
        <w:rPr>
          <w:b/>
          <w:sz w:val="18"/>
        </w:rPr>
        <w:t>Tab.:</w:t>
        <w:tab/>
        <w:t>Veřejně prospěšná opatření – vyvlastnění ploch prvků ÚSES nadregionálního a regionálního</w:t>
      </w:r>
      <w:r>
        <w:rPr>
          <w:b/>
          <w:spacing w:val="40"/>
          <w:sz w:val="18"/>
        </w:rPr>
        <w:t> </w:t>
      </w:r>
      <w:r>
        <w:rPr>
          <w:b/>
          <w:sz w:val="18"/>
        </w:rPr>
        <w:t>významu</w:t>
      </w:r>
    </w:p>
    <w:p>
      <w:pPr>
        <w:spacing w:before="7"/>
        <w:ind w:left="1024" w:right="0" w:firstLine="0"/>
        <w:jc w:val="left"/>
        <w:rPr>
          <w:sz w:val="18"/>
        </w:rPr>
      </w:pPr>
      <w:r>
        <w:rPr>
          <w:sz w:val="18"/>
        </w:rPr>
        <w:t>(zpřesnění ZÚR LK)</w:t>
      </w: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60"/>
        <w:gridCol w:w="8074"/>
      </w:tblGrid>
      <w:tr>
        <w:trPr>
          <w:trHeight w:val="227" w:hRule="atLeast"/>
        </w:trPr>
        <w:tc>
          <w:tcPr>
            <w:tcW w:w="1560" w:type="dxa"/>
            <w:shd w:val="clear" w:color="auto" w:fill="CCFFFF"/>
          </w:tcPr>
          <w:p>
            <w:pPr>
              <w:pStyle w:val="TableParagraph"/>
              <w:spacing w:line="201" w:lineRule="exact"/>
              <w:ind w:left="64"/>
              <w:rPr>
                <w:b/>
                <w:sz w:val="18"/>
              </w:rPr>
            </w:pPr>
            <w:r>
              <w:rPr>
                <w:b/>
                <w:sz w:val="18"/>
              </w:rPr>
              <w:t>VPO číslo</w:t>
            </w:r>
          </w:p>
        </w:tc>
        <w:tc>
          <w:tcPr>
            <w:tcW w:w="8074" w:type="dxa"/>
            <w:shd w:val="clear" w:color="auto" w:fill="CCFFFF"/>
          </w:tcPr>
          <w:p>
            <w:pPr>
              <w:pStyle w:val="TableParagraph"/>
              <w:spacing w:line="201" w:lineRule="exact"/>
              <w:ind w:left="64"/>
              <w:rPr>
                <w:b/>
                <w:sz w:val="18"/>
              </w:rPr>
            </w:pPr>
            <w:r>
              <w:rPr>
                <w:b/>
                <w:sz w:val="18"/>
              </w:rPr>
              <w:t>popis</w:t>
            </w:r>
          </w:p>
        </w:tc>
      </w:tr>
      <w:tr>
        <w:trPr>
          <w:trHeight w:val="229" w:hRule="atLeast"/>
        </w:trPr>
        <w:tc>
          <w:tcPr>
            <w:tcW w:w="1560" w:type="dxa"/>
          </w:tcPr>
          <w:p>
            <w:pPr>
              <w:pStyle w:val="TableParagraph"/>
              <w:ind w:left="0"/>
              <w:rPr>
                <w:rFonts w:ascii="Times New Roman"/>
                <w:sz w:val="16"/>
              </w:rPr>
            </w:pPr>
          </w:p>
        </w:tc>
        <w:tc>
          <w:tcPr>
            <w:tcW w:w="8074" w:type="dxa"/>
          </w:tcPr>
          <w:p>
            <w:pPr>
              <w:pStyle w:val="TableParagraph"/>
              <w:spacing w:line="194" w:lineRule="exact" w:before="15"/>
              <w:ind w:left="64"/>
              <w:rPr>
                <w:b/>
                <w:sz w:val="18"/>
              </w:rPr>
            </w:pPr>
            <w:r>
              <w:rPr>
                <w:b/>
                <w:sz w:val="18"/>
              </w:rPr>
              <w:t>část trasy nadregionálního biokoridoru K19MB</w:t>
            </w:r>
          </w:p>
        </w:tc>
      </w:tr>
      <w:tr>
        <w:trPr>
          <w:trHeight w:val="229" w:hRule="atLeast"/>
        </w:trPr>
        <w:tc>
          <w:tcPr>
            <w:tcW w:w="1560" w:type="dxa"/>
          </w:tcPr>
          <w:p>
            <w:pPr>
              <w:pStyle w:val="TableParagraph"/>
              <w:spacing w:line="206" w:lineRule="exact"/>
              <w:ind w:left="64"/>
              <w:rPr>
                <w:sz w:val="18"/>
              </w:rPr>
            </w:pPr>
            <w:r>
              <w:rPr>
                <w:sz w:val="18"/>
              </w:rPr>
              <w:t>VPO6 (K19MB)</w:t>
            </w:r>
          </w:p>
        </w:tc>
        <w:tc>
          <w:tcPr>
            <w:tcW w:w="8074" w:type="dxa"/>
          </w:tcPr>
          <w:p>
            <w:pPr>
              <w:pStyle w:val="TableParagraph"/>
              <w:spacing w:line="189" w:lineRule="exact" w:before="20"/>
              <w:ind w:left="64"/>
              <w:rPr>
                <w:sz w:val="18"/>
              </w:rPr>
            </w:pPr>
            <w:r>
              <w:rPr>
                <w:sz w:val="18"/>
              </w:rPr>
              <w:t>33-RC1271</w:t>
            </w:r>
          </w:p>
        </w:tc>
      </w:tr>
      <w:tr>
        <w:trPr>
          <w:trHeight w:val="205" w:hRule="atLeast"/>
        </w:trPr>
        <w:tc>
          <w:tcPr>
            <w:tcW w:w="1560" w:type="dxa"/>
          </w:tcPr>
          <w:p>
            <w:pPr>
              <w:pStyle w:val="TableParagraph"/>
              <w:spacing w:line="186" w:lineRule="exact"/>
              <w:ind w:left="64"/>
              <w:rPr>
                <w:sz w:val="18"/>
              </w:rPr>
            </w:pPr>
            <w:r>
              <w:rPr>
                <w:sz w:val="18"/>
              </w:rPr>
              <w:t>VPO7 (K19MB)</w:t>
            </w:r>
          </w:p>
        </w:tc>
        <w:tc>
          <w:tcPr>
            <w:tcW w:w="8074" w:type="dxa"/>
          </w:tcPr>
          <w:p>
            <w:pPr>
              <w:pStyle w:val="TableParagraph"/>
              <w:spacing w:line="186" w:lineRule="exact"/>
              <w:ind w:left="64"/>
              <w:rPr>
                <w:sz w:val="18"/>
              </w:rPr>
            </w:pPr>
            <w:r>
              <w:rPr>
                <w:sz w:val="18"/>
              </w:rPr>
              <w:t>úsek trasy biokoridoru 33/158</w:t>
            </w:r>
          </w:p>
        </w:tc>
      </w:tr>
      <w:tr>
        <w:trPr>
          <w:trHeight w:val="205" w:hRule="atLeast"/>
        </w:trPr>
        <w:tc>
          <w:tcPr>
            <w:tcW w:w="1560" w:type="dxa"/>
          </w:tcPr>
          <w:p>
            <w:pPr>
              <w:pStyle w:val="TableParagraph"/>
              <w:spacing w:line="186" w:lineRule="exact"/>
              <w:ind w:left="64"/>
              <w:rPr>
                <w:sz w:val="18"/>
              </w:rPr>
            </w:pPr>
            <w:r>
              <w:rPr>
                <w:sz w:val="18"/>
              </w:rPr>
              <w:t>VPO7 (K19MB)</w:t>
            </w:r>
          </w:p>
        </w:tc>
        <w:tc>
          <w:tcPr>
            <w:tcW w:w="8074" w:type="dxa"/>
          </w:tcPr>
          <w:p>
            <w:pPr>
              <w:pStyle w:val="TableParagraph"/>
              <w:spacing w:line="186" w:lineRule="exact"/>
              <w:ind w:left="64"/>
              <w:rPr>
                <w:sz w:val="18"/>
              </w:rPr>
            </w:pPr>
            <w:r>
              <w:rPr>
                <w:sz w:val="18"/>
              </w:rPr>
              <w:t>BC159 část</w:t>
            </w:r>
          </w:p>
        </w:tc>
      </w:tr>
      <w:tr>
        <w:trPr>
          <w:trHeight w:val="208" w:hRule="atLeast"/>
        </w:trPr>
        <w:tc>
          <w:tcPr>
            <w:tcW w:w="1560" w:type="dxa"/>
          </w:tcPr>
          <w:p>
            <w:pPr>
              <w:pStyle w:val="TableParagraph"/>
              <w:ind w:left="0"/>
              <w:rPr>
                <w:rFonts w:ascii="Times New Roman"/>
                <w:sz w:val="14"/>
              </w:rPr>
            </w:pPr>
          </w:p>
        </w:tc>
        <w:tc>
          <w:tcPr>
            <w:tcW w:w="8074" w:type="dxa"/>
          </w:tcPr>
          <w:p>
            <w:pPr>
              <w:pStyle w:val="TableParagraph"/>
              <w:spacing w:line="188" w:lineRule="exact"/>
              <w:ind w:left="64"/>
              <w:rPr>
                <w:b/>
                <w:sz w:val="18"/>
              </w:rPr>
            </w:pPr>
            <w:r>
              <w:rPr>
                <w:b/>
                <w:sz w:val="18"/>
              </w:rPr>
              <w:t>část trasy regionálního biokoridoru RK640</w:t>
            </w:r>
          </w:p>
        </w:tc>
      </w:tr>
      <w:tr>
        <w:trPr>
          <w:trHeight w:val="205" w:hRule="atLeast"/>
        </w:trPr>
        <w:tc>
          <w:tcPr>
            <w:tcW w:w="1560" w:type="dxa"/>
          </w:tcPr>
          <w:p>
            <w:pPr>
              <w:pStyle w:val="TableParagraph"/>
              <w:spacing w:line="186" w:lineRule="exact"/>
              <w:ind w:left="64"/>
              <w:rPr>
                <w:sz w:val="18"/>
              </w:rPr>
            </w:pPr>
            <w:r>
              <w:rPr>
                <w:sz w:val="18"/>
              </w:rPr>
              <w:t>VPO8 (RK640)</w:t>
            </w:r>
          </w:p>
        </w:tc>
        <w:tc>
          <w:tcPr>
            <w:tcW w:w="8074" w:type="dxa"/>
          </w:tcPr>
          <w:p>
            <w:pPr>
              <w:pStyle w:val="TableParagraph"/>
              <w:spacing w:line="186" w:lineRule="exact"/>
              <w:ind w:left="64"/>
              <w:rPr>
                <w:sz w:val="18"/>
              </w:rPr>
            </w:pPr>
            <w:r>
              <w:rPr>
                <w:sz w:val="18"/>
              </w:rPr>
              <w:t>úsek trasy biokoridoru 10/504</w:t>
            </w:r>
          </w:p>
        </w:tc>
      </w:tr>
      <w:tr>
        <w:trPr>
          <w:trHeight w:val="208" w:hRule="atLeast"/>
        </w:trPr>
        <w:tc>
          <w:tcPr>
            <w:tcW w:w="1560" w:type="dxa"/>
          </w:tcPr>
          <w:p>
            <w:pPr>
              <w:pStyle w:val="TableParagraph"/>
              <w:spacing w:line="188" w:lineRule="exact"/>
              <w:ind w:left="64"/>
              <w:rPr>
                <w:sz w:val="18"/>
              </w:rPr>
            </w:pPr>
            <w:r>
              <w:rPr>
                <w:sz w:val="18"/>
              </w:rPr>
              <w:t>VPO8 (RK640)</w:t>
            </w:r>
          </w:p>
        </w:tc>
        <w:tc>
          <w:tcPr>
            <w:tcW w:w="8074" w:type="dxa"/>
          </w:tcPr>
          <w:p>
            <w:pPr>
              <w:pStyle w:val="TableParagraph"/>
              <w:spacing w:line="188" w:lineRule="exact"/>
              <w:ind w:left="64"/>
              <w:rPr>
                <w:sz w:val="18"/>
              </w:rPr>
            </w:pPr>
            <w:r>
              <w:rPr>
                <w:sz w:val="18"/>
              </w:rPr>
              <w:t>BC506 část</w:t>
            </w:r>
          </w:p>
        </w:tc>
      </w:tr>
      <w:tr>
        <w:trPr>
          <w:trHeight w:val="205" w:hRule="atLeast"/>
        </w:trPr>
        <w:tc>
          <w:tcPr>
            <w:tcW w:w="1560" w:type="dxa"/>
          </w:tcPr>
          <w:p>
            <w:pPr>
              <w:pStyle w:val="TableParagraph"/>
              <w:spacing w:line="186" w:lineRule="exact"/>
              <w:ind w:left="64"/>
              <w:rPr>
                <w:sz w:val="18"/>
              </w:rPr>
            </w:pPr>
            <w:r>
              <w:rPr>
                <w:sz w:val="18"/>
              </w:rPr>
              <w:t>VPO8 (RK640)</w:t>
            </w:r>
          </w:p>
        </w:tc>
        <w:tc>
          <w:tcPr>
            <w:tcW w:w="8074" w:type="dxa"/>
          </w:tcPr>
          <w:p>
            <w:pPr>
              <w:pStyle w:val="TableParagraph"/>
              <w:spacing w:line="186" w:lineRule="exact"/>
              <w:ind w:left="64"/>
              <w:rPr>
                <w:sz w:val="18"/>
              </w:rPr>
            </w:pPr>
            <w:r>
              <w:rPr>
                <w:sz w:val="18"/>
              </w:rPr>
              <w:t>úsek trasy biokoridoru 506/507</w:t>
            </w:r>
          </w:p>
        </w:tc>
      </w:tr>
      <w:tr>
        <w:trPr>
          <w:trHeight w:val="205" w:hRule="atLeast"/>
        </w:trPr>
        <w:tc>
          <w:tcPr>
            <w:tcW w:w="1560" w:type="dxa"/>
          </w:tcPr>
          <w:p>
            <w:pPr>
              <w:pStyle w:val="TableParagraph"/>
              <w:spacing w:line="186" w:lineRule="exact"/>
              <w:ind w:left="64"/>
              <w:rPr>
                <w:sz w:val="18"/>
              </w:rPr>
            </w:pPr>
            <w:r>
              <w:rPr>
                <w:sz w:val="18"/>
              </w:rPr>
              <w:t>VPO8 (RK640)</w:t>
            </w:r>
          </w:p>
        </w:tc>
        <w:tc>
          <w:tcPr>
            <w:tcW w:w="8074" w:type="dxa"/>
          </w:tcPr>
          <w:p>
            <w:pPr>
              <w:pStyle w:val="TableParagraph"/>
              <w:spacing w:line="186" w:lineRule="exact"/>
              <w:ind w:left="64"/>
              <w:rPr>
                <w:sz w:val="18"/>
              </w:rPr>
            </w:pPr>
            <w:r>
              <w:rPr>
                <w:sz w:val="18"/>
              </w:rPr>
              <w:t>BC507</w:t>
            </w:r>
          </w:p>
        </w:tc>
      </w:tr>
      <w:tr>
        <w:trPr>
          <w:trHeight w:val="208" w:hRule="atLeast"/>
        </w:trPr>
        <w:tc>
          <w:tcPr>
            <w:tcW w:w="1560" w:type="dxa"/>
          </w:tcPr>
          <w:p>
            <w:pPr>
              <w:pStyle w:val="TableParagraph"/>
              <w:spacing w:line="187" w:lineRule="exact" w:before="1"/>
              <w:ind w:left="64"/>
              <w:rPr>
                <w:sz w:val="18"/>
              </w:rPr>
            </w:pPr>
            <w:r>
              <w:rPr>
                <w:sz w:val="18"/>
              </w:rPr>
              <w:t>VPO8 (RK640)</w:t>
            </w:r>
          </w:p>
        </w:tc>
        <w:tc>
          <w:tcPr>
            <w:tcW w:w="8074" w:type="dxa"/>
          </w:tcPr>
          <w:p>
            <w:pPr>
              <w:pStyle w:val="TableParagraph"/>
              <w:spacing w:line="187" w:lineRule="exact" w:before="1"/>
              <w:ind w:left="64"/>
              <w:rPr>
                <w:sz w:val="18"/>
              </w:rPr>
            </w:pPr>
            <w:r>
              <w:rPr>
                <w:sz w:val="18"/>
              </w:rPr>
              <w:t>úsek trasy biokoridoru 507/508</w:t>
            </w:r>
          </w:p>
        </w:tc>
      </w:tr>
      <w:tr>
        <w:trPr>
          <w:trHeight w:val="205" w:hRule="atLeast"/>
        </w:trPr>
        <w:tc>
          <w:tcPr>
            <w:tcW w:w="1560" w:type="dxa"/>
          </w:tcPr>
          <w:p>
            <w:pPr>
              <w:pStyle w:val="TableParagraph"/>
              <w:spacing w:line="186" w:lineRule="exact"/>
              <w:ind w:left="64"/>
              <w:rPr>
                <w:sz w:val="18"/>
              </w:rPr>
            </w:pPr>
            <w:r>
              <w:rPr>
                <w:sz w:val="18"/>
              </w:rPr>
              <w:t>VPO8 (RK640)</w:t>
            </w:r>
          </w:p>
        </w:tc>
        <w:tc>
          <w:tcPr>
            <w:tcW w:w="8074" w:type="dxa"/>
          </w:tcPr>
          <w:p>
            <w:pPr>
              <w:pStyle w:val="TableParagraph"/>
              <w:spacing w:line="186" w:lineRule="exact"/>
              <w:ind w:left="64"/>
              <w:rPr>
                <w:sz w:val="18"/>
              </w:rPr>
            </w:pPr>
            <w:r>
              <w:rPr>
                <w:sz w:val="18"/>
              </w:rPr>
              <w:t>BC508</w:t>
            </w:r>
          </w:p>
        </w:tc>
      </w:tr>
      <w:tr>
        <w:trPr>
          <w:trHeight w:val="208" w:hRule="atLeast"/>
        </w:trPr>
        <w:tc>
          <w:tcPr>
            <w:tcW w:w="1560" w:type="dxa"/>
          </w:tcPr>
          <w:p>
            <w:pPr>
              <w:pStyle w:val="TableParagraph"/>
              <w:spacing w:line="188" w:lineRule="exact"/>
              <w:ind w:left="64"/>
              <w:rPr>
                <w:sz w:val="18"/>
              </w:rPr>
            </w:pPr>
            <w:r>
              <w:rPr>
                <w:sz w:val="18"/>
              </w:rPr>
              <w:t>VPO8 (RK640)</w:t>
            </w:r>
          </w:p>
        </w:tc>
        <w:tc>
          <w:tcPr>
            <w:tcW w:w="8074" w:type="dxa"/>
          </w:tcPr>
          <w:p>
            <w:pPr>
              <w:pStyle w:val="TableParagraph"/>
              <w:spacing w:line="188" w:lineRule="exact"/>
              <w:ind w:left="64"/>
              <w:rPr>
                <w:sz w:val="18"/>
              </w:rPr>
            </w:pPr>
            <w:r>
              <w:rPr>
                <w:sz w:val="18"/>
              </w:rPr>
              <w:t>úsek trasy biokoridoru 508/509</w:t>
            </w:r>
          </w:p>
        </w:tc>
      </w:tr>
      <w:tr>
        <w:trPr>
          <w:trHeight w:val="205" w:hRule="atLeast"/>
        </w:trPr>
        <w:tc>
          <w:tcPr>
            <w:tcW w:w="1560" w:type="dxa"/>
          </w:tcPr>
          <w:p>
            <w:pPr>
              <w:pStyle w:val="TableParagraph"/>
              <w:spacing w:line="186" w:lineRule="exact"/>
              <w:ind w:left="64"/>
              <w:rPr>
                <w:sz w:val="18"/>
              </w:rPr>
            </w:pPr>
            <w:r>
              <w:rPr>
                <w:sz w:val="18"/>
              </w:rPr>
              <w:t>VPO8 (RK640)</w:t>
            </w:r>
          </w:p>
        </w:tc>
        <w:tc>
          <w:tcPr>
            <w:tcW w:w="8074" w:type="dxa"/>
          </w:tcPr>
          <w:p>
            <w:pPr>
              <w:pStyle w:val="TableParagraph"/>
              <w:spacing w:line="186" w:lineRule="exact"/>
              <w:ind w:left="64"/>
              <w:rPr>
                <w:sz w:val="18"/>
              </w:rPr>
            </w:pPr>
            <w:r>
              <w:rPr>
                <w:sz w:val="18"/>
              </w:rPr>
              <w:t>BC509</w:t>
            </w:r>
          </w:p>
        </w:tc>
      </w:tr>
      <w:tr>
        <w:trPr>
          <w:trHeight w:val="208" w:hRule="atLeast"/>
        </w:trPr>
        <w:tc>
          <w:tcPr>
            <w:tcW w:w="1560" w:type="dxa"/>
          </w:tcPr>
          <w:p>
            <w:pPr>
              <w:pStyle w:val="TableParagraph"/>
              <w:spacing w:line="188" w:lineRule="exact"/>
              <w:ind w:left="64"/>
              <w:rPr>
                <w:sz w:val="18"/>
              </w:rPr>
            </w:pPr>
            <w:r>
              <w:rPr>
                <w:sz w:val="18"/>
              </w:rPr>
              <w:t>VPO8 (RK640)</w:t>
            </w:r>
          </w:p>
        </w:tc>
        <w:tc>
          <w:tcPr>
            <w:tcW w:w="8074" w:type="dxa"/>
          </w:tcPr>
          <w:p>
            <w:pPr>
              <w:pStyle w:val="TableParagraph"/>
              <w:spacing w:line="188" w:lineRule="exact"/>
              <w:ind w:left="64"/>
              <w:rPr>
                <w:sz w:val="18"/>
              </w:rPr>
            </w:pPr>
            <w:r>
              <w:rPr>
                <w:sz w:val="18"/>
              </w:rPr>
              <w:t>úsek trasy biokoridoru 509/510</w:t>
            </w:r>
          </w:p>
        </w:tc>
      </w:tr>
    </w:tbl>
    <w:p>
      <w:pPr>
        <w:pStyle w:val="BodyText"/>
        <w:spacing w:before="8"/>
        <w:ind w:left="0" w:firstLine="0"/>
        <w:jc w:val="left"/>
        <w:rPr>
          <w:sz w:val="28"/>
        </w:rPr>
      </w:pPr>
      <w:r>
        <w:rPr/>
        <w:pict>
          <v:group style="position:absolute;margin-left:55.199997pt;margin-top:18.469999pt;width:484.7pt;height:30.05pt;mso-position-horizontal-relative:page;mso-position-vertical-relative:paragraph;z-index:-15705600;mso-wrap-distance-left:0;mso-wrap-distance-right:0" coordorigin="1104,369" coordsize="9694,601">
            <v:shape style="position:absolute;left:1104;top:372;width:9694;height:598" coordorigin="1104,372" coordsize="9694,598" path="m10798,372l1104,372,1104,672,1104,970,10798,970,10798,672,10798,372xe" filled="true" fillcolor="#32cccc" stroked="false">
              <v:path arrowok="t"/>
              <v:fill type="solid"/>
            </v:shape>
            <v:shape style="position:absolute;left:1132;top:369;width:208;height:300" type="#_x0000_t202" filled="false" stroked="false">
              <v:textbox inset="0,0,0,0">
                <w:txbxContent>
                  <w:p>
                    <w:pPr>
                      <w:spacing w:line="298" w:lineRule="exact" w:before="0"/>
                      <w:ind w:left="0" w:right="0" w:firstLine="0"/>
                      <w:jc w:val="left"/>
                      <w:rPr>
                        <w:b/>
                        <w:sz w:val="26"/>
                      </w:rPr>
                    </w:pPr>
                    <w:r>
                      <w:rPr>
                        <w:b/>
                        <w:w w:val="99"/>
                        <w:sz w:val="26"/>
                      </w:rPr>
                      <w:t>H</w:t>
                    </w:r>
                  </w:p>
                </w:txbxContent>
              </v:textbox>
              <w10:wrap type="none"/>
            </v:shape>
            <v:shape style="position:absolute;left:1984;top:369;width:8207;height:600" type="#_x0000_t202" filled="false" stroked="false">
              <v:textbox inset="0,0,0,0">
                <w:txbxContent>
                  <w:p>
                    <w:pPr>
                      <w:spacing w:before="0"/>
                      <w:ind w:left="0" w:right="-5" w:firstLine="0"/>
                      <w:jc w:val="left"/>
                      <w:rPr>
                        <w:b/>
                        <w:sz w:val="26"/>
                      </w:rPr>
                    </w:pPr>
                    <w:r>
                      <w:rPr>
                        <w:b/>
                        <w:sz w:val="26"/>
                      </w:rPr>
                      <w:t>VYMEZENÍ VPS A VEŘEJNÝCH PROSTRANSTVÍ, PRO KTERÁ LZE UPLATNIT PŘEDKUPNÍ PRÁVO</w:t>
                    </w:r>
                  </w:p>
                </w:txbxContent>
              </v:textbox>
              <w10:wrap type="none"/>
            </v:shape>
            <w10:wrap type="topAndBottom"/>
          </v:group>
        </w:pict>
      </w:r>
    </w:p>
    <w:p>
      <w:pPr>
        <w:pStyle w:val="ListParagraph"/>
        <w:numPr>
          <w:ilvl w:val="0"/>
          <w:numId w:val="1"/>
        </w:numPr>
        <w:tabs>
          <w:tab w:pos="1024" w:val="left" w:leader="none"/>
          <w:tab w:pos="1025" w:val="left" w:leader="none"/>
        </w:tabs>
        <w:spacing w:line="244" w:lineRule="auto" w:before="86" w:after="0"/>
        <w:ind w:left="1024" w:right="146" w:hanging="853"/>
        <w:jc w:val="left"/>
        <w:rPr>
          <w:sz w:val="22"/>
        </w:rPr>
      </w:pPr>
      <w:r>
        <w:rPr>
          <w:b/>
          <w:sz w:val="22"/>
        </w:rPr>
        <w:t>Veřejně prospěšné stavby </w:t>
      </w:r>
      <w:r>
        <w:rPr>
          <w:sz w:val="22"/>
        </w:rPr>
        <w:t>(VPS), pro které lze uplatnit předkupní právo, se vymezují ve Výkresu veřejně prospěšných staveb, opatření a asanací (4) a v následujícím</w:t>
      </w:r>
      <w:r>
        <w:rPr>
          <w:spacing w:val="-21"/>
          <w:sz w:val="22"/>
        </w:rPr>
        <w:t> </w:t>
      </w:r>
      <w:r>
        <w:rPr>
          <w:sz w:val="22"/>
        </w:rPr>
        <w:t>výčtu:</w:t>
      </w:r>
    </w:p>
    <w:p>
      <w:pPr>
        <w:tabs>
          <w:tab w:pos="1024" w:val="left" w:leader="none"/>
        </w:tabs>
        <w:spacing w:before="109" w:after="6"/>
        <w:ind w:left="172" w:right="0" w:firstLine="0"/>
        <w:jc w:val="left"/>
        <w:rPr>
          <w:b/>
          <w:sz w:val="18"/>
        </w:rPr>
      </w:pPr>
      <w:r>
        <w:rPr>
          <w:b/>
          <w:sz w:val="18"/>
        </w:rPr>
        <w:t>Tab.:</w:t>
        <w:tab/>
        <w:t>Veřejně prospěšné stavby občanského</w:t>
      </w:r>
      <w:r>
        <w:rPr>
          <w:b/>
          <w:spacing w:val="-6"/>
          <w:sz w:val="18"/>
        </w:rPr>
        <w:t> </w:t>
      </w:r>
      <w:r>
        <w:rPr>
          <w:b/>
          <w:sz w:val="18"/>
        </w:rPr>
        <w:t>vybavení</w:t>
      </w: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3686"/>
        <w:gridCol w:w="1701"/>
        <w:gridCol w:w="3542"/>
      </w:tblGrid>
      <w:tr>
        <w:trPr>
          <w:trHeight w:val="515" w:hRule="atLeast"/>
        </w:trPr>
        <w:tc>
          <w:tcPr>
            <w:tcW w:w="708" w:type="dxa"/>
            <w:shd w:val="clear" w:color="auto" w:fill="CCFFFF"/>
          </w:tcPr>
          <w:p>
            <w:pPr>
              <w:pStyle w:val="TableParagraph"/>
              <w:spacing w:before="54"/>
              <w:ind w:left="71"/>
              <w:rPr>
                <w:b/>
                <w:sz w:val="18"/>
              </w:rPr>
            </w:pPr>
            <w:r>
              <w:rPr>
                <w:b/>
                <w:sz w:val="18"/>
              </w:rPr>
              <w:t>VPS</w:t>
            </w:r>
          </w:p>
          <w:p>
            <w:pPr>
              <w:pStyle w:val="TableParagraph"/>
              <w:spacing w:before="2"/>
              <w:ind w:left="71"/>
              <w:rPr>
                <w:b/>
                <w:sz w:val="18"/>
              </w:rPr>
            </w:pPr>
            <w:r>
              <w:rPr>
                <w:b/>
                <w:sz w:val="18"/>
              </w:rPr>
              <w:t>číslo</w:t>
            </w:r>
          </w:p>
        </w:tc>
        <w:tc>
          <w:tcPr>
            <w:tcW w:w="3686" w:type="dxa"/>
            <w:shd w:val="clear" w:color="auto" w:fill="CCFFFF"/>
          </w:tcPr>
          <w:p>
            <w:pPr>
              <w:pStyle w:val="TableParagraph"/>
              <w:spacing w:before="159"/>
              <w:ind w:left="71"/>
              <w:rPr>
                <w:b/>
                <w:sz w:val="18"/>
              </w:rPr>
            </w:pPr>
            <w:r>
              <w:rPr>
                <w:b/>
                <w:sz w:val="18"/>
              </w:rPr>
              <w:t>umístění / účel</w:t>
            </w:r>
          </w:p>
        </w:tc>
        <w:tc>
          <w:tcPr>
            <w:tcW w:w="1701" w:type="dxa"/>
            <w:shd w:val="clear" w:color="auto" w:fill="CCFFFF"/>
          </w:tcPr>
          <w:p>
            <w:pPr>
              <w:pStyle w:val="TableParagraph"/>
              <w:spacing w:line="244" w:lineRule="exact" w:before="11"/>
              <w:ind w:left="321" w:right="115" w:hanging="176"/>
              <w:rPr>
                <w:b/>
                <w:sz w:val="18"/>
              </w:rPr>
            </w:pPr>
            <w:r>
              <w:rPr>
                <w:b/>
                <w:sz w:val="18"/>
              </w:rPr>
              <w:t>předkupní právo ve prospěch</w:t>
            </w:r>
          </w:p>
        </w:tc>
        <w:tc>
          <w:tcPr>
            <w:tcW w:w="3542" w:type="dxa"/>
            <w:shd w:val="clear" w:color="auto" w:fill="CCFFFF"/>
          </w:tcPr>
          <w:p>
            <w:pPr>
              <w:pStyle w:val="TableParagraph"/>
              <w:spacing w:line="244" w:lineRule="exact" w:before="11"/>
              <w:ind w:left="1087" w:right="955" w:hanging="101"/>
              <w:rPr>
                <w:b/>
                <w:sz w:val="18"/>
              </w:rPr>
            </w:pPr>
            <w:r>
              <w:rPr>
                <w:b/>
                <w:sz w:val="18"/>
              </w:rPr>
              <w:t>katastrální území - dotčené parcely</w:t>
            </w:r>
          </w:p>
        </w:tc>
      </w:tr>
      <w:tr>
        <w:trPr>
          <w:trHeight w:val="412" w:hRule="atLeast"/>
        </w:trPr>
        <w:tc>
          <w:tcPr>
            <w:tcW w:w="708" w:type="dxa"/>
          </w:tcPr>
          <w:p>
            <w:pPr>
              <w:pStyle w:val="TableParagraph"/>
              <w:spacing w:line="206" w:lineRule="exact"/>
              <w:rPr>
                <w:sz w:val="18"/>
              </w:rPr>
            </w:pPr>
            <w:r>
              <w:rPr>
                <w:sz w:val="18"/>
              </w:rPr>
              <w:t>9.S</w:t>
            </w:r>
          </w:p>
        </w:tc>
        <w:tc>
          <w:tcPr>
            <w:tcW w:w="3686" w:type="dxa"/>
          </w:tcPr>
          <w:p>
            <w:pPr>
              <w:pStyle w:val="TableParagraph"/>
              <w:spacing w:line="206" w:lineRule="exact"/>
              <w:rPr>
                <w:sz w:val="18"/>
              </w:rPr>
            </w:pPr>
            <w:r>
              <w:rPr>
                <w:sz w:val="18"/>
              </w:rPr>
              <w:t>Turpišova –</w:t>
            </w:r>
          </w:p>
          <w:p>
            <w:pPr>
              <w:pStyle w:val="TableParagraph"/>
              <w:spacing w:line="187" w:lineRule="exact"/>
              <w:rPr>
                <w:sz w:val="18"/>
              </w:rPr>
            </w:pPr>
            <w:r>
              <w:rPr>
                <w:sz w:val="18"/>
              </w:rPr>
              <w:t>rozšíření městského sportovního areálu</w:t>
            </w:r>
          </w:p>
        </w:tc>
        <w:tc>
          <w:tcPr>
            <w:tcW w:w="1701" w:type="dxa"/>
          </w:tcPr>
          <w:p>
            <w:pPr>
              <w:pStyle w:val="TableParagraph"/>
              <w:spacing w:before="102"/>
              <w:ind w:left="151" w:right="139"/>
              <w:jc w:val="center"/>
              <w:rPr>
                <w:sz w:val="18"/>
              </w:rPr>
            </w:pPr>
            <w:r>
              <w:rPr>
                <w:sz w:val="18"/>
              </w:rPr>
              <w:t>město Chrastava</w:t>
            </w:r>
          </w:p>
        </w:tc>
        <w:tc>
          <w:tcPr>
            <w:tcW w:w="3542" w:type="dxa"/>
          </w:tcPr>
          <w:p>
            <w:pPr>
              <w:pStyle w:val="TableParagraph"/>
              <w:spacing w:line="206" w:lineRule="exact" w:before="3"/>
              <w:ind w:left="142" w:right="107" w:firstLine="148"/>
              <w:rPr>
                <w:sz w:val="18"/>
              </w:rPr>
            </w:pPr>
            <w:r>
              <w:rPr>
                <w:sz w:val="18"/>
              </w:rPr>
              <w:t>Chrastava I - 570/4, 570/5 č, 575/2 č, 575/4, 579 č, 580 č, 581 č, 582 č, 1417/2</w:t>
            </w:r>
          </w:p>
        </w:tc>
      </w:tr>
      <w:tr>
        <w:trPr>
          <w:trHeight w:val="411" w:hRule="atLeast"/>
        </w:trPr>
        <w:tc>
          <w:tcPr>
            <w:tcW w:w="708" w:type="dxa"/>
          </w:tcPr>
          <w:p>
            <w:pPr>
              <w:pStyle w:val="TableParagraph"/>
              <w:spacing w:line="203" w:lineRule="exact"/>
              <w:rPr>
                <w:sz w:val="18"/>
              </w:rPr>
            </w:pPr>
            <w:r>
              <w:rPr>
                <w:sz w:val="18"/>
              </w:rPr>
              <w:t>11.S</w:t>
            </w:r>
          </w:p>
        </w:tc>
        <w:tc>
          <w:tcPr>
            <w:tcW w:w="3686" w:type="dxa"/>
          </w:tcPr>
          <w:p>
            <w:pPr>
              <w:pStyle w:val="TableParagraph"/>
              <w:spacing w:line="203" w:lineRule="exact"/>
              <w:rPr>
                <w:sz w:val="18"/>
              </w:rPr>
            </w:pPr>
            <w:r>
              <w:rPr>
                <w:sz w:val="18"/>
              </w:rPr>
              <w:t>Sportovní –</w:t>
            </w:r>
          </w:p>
          <w:p>
            <w:pPr>
              <w:pStyle w:val="TableParagraph"/>
              <w:spacing w:line="187" w:lineRule="exact" w:before="2"/>
              <w:rPr>
                <w:sz w:val="18"/>
              </w:rPr>
            </w:pPr>
            <w:r>
              <w:rPr>
                <w:sz w:val="18"/>
              </w:rPr>
              <w:t>rozšíření areálu městského koupaliště</w:t>
            </w:r>
          </w:p>
        </w:tc>
        <w:tc>
          <w:tcPr>
            <w:tcW w:w="1701" w:type="dxa"/>
          </w:tcPr>
          <w:p>
            <w:pPr>
              <w:pStyle w:val="TableParagraph"/>
              <w:spacing w:line="203" w:lineRule="exact"/>
              <w:ind w:left="151" w:right="139"/>
              <w:jc w:val="center"/>
              <w:rPr>
                <w:sz w:val="18"/>
              </w:rPr>
            </w:pPr>
            <w:r>
              <w:rPr>
                <w:sz w:val="18"/>
              </w:rPr>
              <w:t>město Chrastava</w:t>
            </w:r>
          </w:p>
        </w:tc>
        <w:tc>
          <w:tcPr>
            <w:tcW w:w="3542" w:type="dxa"/>
          </w:tcPr>
          <w:p>
            <w:pPr>
              <w:pStyle w:val="TableParagraph"/>
              <w:spacing w:line="203" w:lineRule="exact"/>
              <w:ind w:left="631"/>
              <w:rPr>
                <w:sz w:val="18"/>
              </w:rPr>
            </w:pPr>
            <w:r>
              <w:rPr>
                <w:sz w:val="18"/>
              </w:rPr>
              <w:t>Chrastava I - 1369/3, 1306/2</w:t>
            </w:r>
          </w:p>
        </w:tc>
      </w:tr>
      <w:tr>
        <w:trPr>
          <w:trHeight w:val="414" w:hRule="atLeast"/>
        </w:trPr>
        <w:tc>
          <w:tcPr>
            <w:tcW w:w="708" w:type="dxa"/>
          </w:tcPr>
          <w:p>
            <w:pPr>
              <w:pStyle w:val="TableParagraph"/>
              <w:spacing w:line="206" w:lineRule="exact"/>
              <w:rPr>
                <w:sz w:val="18"/>
              </w:rPr>
            </w:pPr>
            <w:r>
              <w:rPr>
                <w:sz w:val="18"/>
              </w:rPr>
              <w:t>12.S</w:t>
            </w:r>
          </w:p>
        </w:tc>
        <w:tc>
          <w:tcPr>
            <w:tcW w:w="3686" w:type="dxa"/>
          </w:tcPr>
          <w:p>
            <w:pPr>
              <w:pStyle w:val="TableParagraph"/>
              <w:spacing w:line="206" w:lineRule="exact"/>
              <w:rPr>
                <w:sz w:val="18"/>
              </w:rPr>
            </w:pPr>
            <w:r>
              <w:rPr>
                <w:sz w:val="18"/>
              </w:rPr>
              <w:t>Vítkovská –</w:t>
            </w:r>
          </w:p>
          <w:p>
            <w:pPr>
              <w:pStyle w:val="TableParagraph"/>
              <w:spacing w:line="189" w:lineRule="exact"/>
              <w:rPr>
                <w:sz w:val="18"/>
              </w:rPr>
            </w:pPr>
            <w:r>
              <w:rPr>
                <w:sz w:val="18"/>
              </w:rPr>
              <w:t>rozšíření areálu městského koupaliště</w:t>
            </w:r>
          </w:p>
        </w:tc>
        <w:tc>
          <w:tcPr>
            <w:tcW w:w="1701" w:type="dxa"/>
          </w:tcPr>
          <w:p>
            <w:pPr>
              <w:pStyle w:val="TableParagraph"/>
              <w:spacing w:line="206" w:lineRule="exact"/>
              <w:ind w:left="151" w:right="139"/>
              <w:jc w:val="center"/>
              <w:rPr>
                <w:sz w:val="18"/>
              </w:rPr>
            </w:pPr>
            <w:r>
              <w:rPr>
                <w:sz w:val="18"/>
              </w:rPr>
              <w:t>město Chrastava</w:t>
            </w:r>
          </w:p>
        </w:tc>
        <w:tc>
          <w:tcPr>
            <w:tcW w:w="3542" w:type="dxa"/>
          </w:tcPr>
          <w:p>
            <w:pPr>
              <w:pStyle w:val="TableParagraph"/>
              <w:spacing w:line="206" w:lineRule="exact" w:before="3"/>
              <w:ind w:left="1498" w:right="265" w:hanging="1203"/>
              <w:rPr>
                <w:sz w:val="18"/>
              </w:rPr>
            </w:pPr>
            <w:r>
              <w:rPr>
                <w:sz w:val="18"/>
              </w:rPr>
              <w:t>Chrastava I – 750/1, 744/1 č, 1332 č, 1339/1</w:t>
            </w:r>
          </w:p>
        </w:tc>
      </w:tr>
      <w:tr>
        <w:trPr>
          <w:trHeight w:val="412" w:hRule="atLeast"/>
        </w:trPr>
        <w:tc>
          <w:tcPr>
            <w:tcW w:w="708" w:type="dxa"/>
          </w:tcPr>
          <w:p>
            <w:pPr>
              <w:pStyle w:val="TableParagraph"/>
              <w:spacing w:line="206" w:lineRule="exact"/>
              <w:rPr>
                <w:sz w:val="18"/>
              </w:rPr>
            </w:pPr>
            <w:r>
              <w:rPr>
                <w:sz w:val="18"/>
              </w:rPr>
              <w:t>27.S</w:t>
            </w:r>
          </w:p>
        </w:tc>
        <w:tc>
          <w:tcPr>
            <w:tcW w:w="3686" w:type="dxa"/>
          </w:tcPr>
          <w:p>
            <w:pPr>
              <w:pStyle w:val="TableParagraph"/>
              <w:spacing w:line="205" w:lineRule="exact"/>
              <w:rPr>
                <w:sz w:val="18"/>
              </w:rPr>
            </w:pPr>
            <w:r>
              <w:rPr>
                <w:sz w:val="18"/>
              </w:rPr>
              <w:t>Střelecký vrch –</w:t>
            </w:r>
          </w:p>
          <w:p>
            <w:pPr>
              <w:pStyle w:val="TableParagraph"/>
              <w:spacing w:line="187" w:lineRule="exact"/>
              <w:rPr>
                <w:sz w:val="18"/>
              </w:rPr>
            </w:pPr>
            <w:r>
              <w:rPr>
                <w:sz w:val="18"/>
              </w:rPr>
              <w:t>sportovní areál u revitalizovaných rybníků</w:t>
            </w:r>
          </w:p>
        </w:tc>
        <w:tc>
          <w:tcPr>
            <w:tcW w:w="1701" w:type="dxa"/>
          </w:tcPr>
          <w:p>
            <w:pPr>
              <w:pStyle w:val="TableParagraph"/>
              <w:spacing w:line="206" w:lineRule="exact"/>
              <w:ind w:left="151" w:right="139"/>
              <w:jc w:val="center"/>
              <w:rPr>
                <w:sz w:val="18"/>
              </w:rPr>
            </w:pPr>
            <w:r>
              <w:rPr>
                <w:sz w:val="18"/>
              </w:rPr>
              <w:t>město Chrastava</w:t>
            </w:r>
          </w:p>
        </w:tc>
        <w:tc>
          <w:tcPr>
            <w:tcW w:w="3542" w:type="dxa"/>
          </w:tcPr>
          <w:p>
            <w:pPr>
              <w:pStyle w:val="TableParagraph"/>
              <w:spacing w:line="206" w:lineRule="exact" w:before="3"/>
              <w:ind w:left="1272" w:right="105" w:hanging="1138"/>
              <w:rPr>
                <w:sz w:val="18"/>
              </w:rPr>
            </w:pPr>
            <w:r>
              <w:rPr>
                <w:sz w:val="18"/>
              </w:rPr>
              <w:t>Chrastava I – 593/1, 593/2, 593/3, 593/4, 593/5, 593/6</w:t>
            </w:r>
          </w:p>
        </w:tc>
      </w:tr>
      <w:tr>
        <w:trPr>
          <w:trHeight w:val="411" w:hRule="atLeast"/>
        </w:trPr>
        <w:tc>
          <w:tcPr>
            <w:tcW w:w="708" w:type="dxa"/>
          </w:tcPr>
          <w:p>
            <w:pPr>
              <w:pStyle w:val="TableParagraph"/>
              <w:spacing w:line="203" w:lineRule="exact"/>
              <w:rPr>
                <w:sz w:val="18"/>
              </w:rPr>
            </w:pPr>
            <w:r>
              <w:rPr>
                <w:sz w:val="18"/>
              </w:rPr>
              <w:t>28.S</w:t>
            </w:r>
          </w:p>
        </w:tc>
        <w:tc>
          <w:tcPr>
            <w:tcW w:w="3686" w:type="dxa"/>
          </w:tcPr>
          <w:p>
            <w:pPr>
              <w:pStyle w:val="TableParagraph"/>
              <w:spacing w:line="203" w:lineRule="exact"/>
              <w:rPr>
                <w:sz w:val="18"/>
              </w:rPr>
            </w:pPr>
            <w:r>
              <w:rPr>
                <w:sz w:val="18"/>
              </w:rPr>
              <w:t>Střelecký vrch –</w:t>
            </w:r>
          </w:p>
          <w:p>
            <w:pPr>
              <w:pStyle w:val="TableParagraph"/>
              <w:spacing w:line="187" w:lineRule="exact" w:before="2"/>
              <w:rPr>
                <w:sz w:val="18"/>
              </w:rPr>
            </w:pPr>
            <w:r>
              <w:rPr>
                <w:sz w:val="18"/>
              </w:rPr>
              <w:t>sportovní areál u revitalizovaných rybníků</w:t>
            </w:r>
          </w:p>
        </w:tc>
        <w:tc>
          <w:tcPr>
            <w:tcW w:w="1701" w:type="dxa"/>
          </w:tcPr>
          <w:p>
            <w:pPr>
              <w:pStyle w:val="TableParagraph"/>
              <w:spacing w:line="203" w:lineRule="exact"/>
              <w:ind w:left="151" w:right="139"/>
              <w:jc w:val="center"/>
              <w:rPr>
                <w:sz w:val="18"/>
              </w:rPr>
            </w:pPr>
            <w:r>
              <w:rPr>
                <w:sz w:val="18"/>
              </w:rPr>
              <w:t>město Chrastava</w:t>
            </w:r>
          </w:p>
        </w:tc>
        <w:tc>
          <w:tcPr>
            <w:tcW w:w="3542" w:type="dxa"/>
          </w:tcPr>
          <w:p>
            <w:pPr>
              <w:pStyle w:val="TableParagraph"/>
              <w:spacing w:line="203" w:lineRule="exact"/>
              <w:ind w:left="322" w:right="308"/>
              <w:jc w:val="center"/>
              <w:rPr>
                <w:sz w:val="18"/>
              </w:rPr>
            </w:pPr>
            <w:r>
              <w:rPr>
                <w:sz w:val="18"/>
              </w:rPr>
              <w:t>Chrastava I – 614/2, 614/5, 614/6 č,</w:t>
            </w:r>
          </w:p>
          <w:p>
            <w:pPr>
              <w:pStyle w:val="TableParagraph"/>
              <w:spacing w:line="187" w:lineRule="exact" w:before="2"/>
              <w:ind w:left="321" w:right="308"/>
              <w:jc w:val="center"/>
              <w:rPr>
                <w:sz w:val="18"/>
              </w:rPr>
            </w:pPr>
            <w:r>
              <w:rPr>
                <w:sz w:val="18"/>
              </w:rPr>
              <w:t>614/7, 631/1, 631/4</w:t>
            </w:r>
          </w:p>
        </w:tc>
      </w:tr>
    </w:tbl>
    <w:p>
      <w:pPr>
        <w:pStyle w:val="BodyText"/>
        <w:spacing w:before="5"/>
        <w:ind w:left="0" w:firstLine="0"/>
        <w:jc w:val="left"/>
        <w:rPr>
          <w:b/>
          <w:sz w:val="20"/>
        </w:rPr>
      </w:pPr>
    </w:p>
    <w:p>
      <w:pPr>
        <w:pStyle w:val="ListParagraph"/>
        <w:numPr>
          <w:ilvl w:val="0"/>
          <w:numId w:val="1"/>
        </w:numPr>
        <w:tabs>
          <w:tab w:pos="1024" w:val="left" w:leader="none"/>
          <w:tab w:pos="1025" w:val="left" w:leader="none"/>
        </w:tabs>
        <w:spacing w:line="244" w:lineRule="auto" w:before="0" w:after="0"/>
        <w:ind w:left="1024" w:right="147" w:hanging="853"/>
        <w:jc w:val="left"/>
        <w:rPr>
          <w:sz w:val="22"/>
        </w:rPr>
      </w:pPr>
      <w:r>
        <w:rPr>
          <w:sz w:val="22"/>
        </w:rPr>
        <w:t>Žádné plochy </w:t>
      </w:r>
      <w:r>
        <w:rPr>
          <w:b/>
          <w:sz w:val="22"/>
        </w:rPr>
        <w:t>veřejných prostranství </w:t>
      </w:r>
      <w:r>
        <w:rPr>
          <w:sz w:val="22"/>
        </w:rPr>
        <w:t>(P), na které může město Chrastava uplatnit předkupní právo, se v územním plánu</w:t>
      </w:r>
      <w:r>
        <w:rPr>
          <w:spacing w:val="-4"/>
          <w:sz w:val="22"/>
        </w:rPr>
        <w:t> </w:t>
      </w:r>
      <w:r>
        <w:rPr>
          <w:sz w:val="22"/>
        </w:rPr>
        <w:t>nevymezují.</w:t>
      </w:r>
    </w:p>
    <w:p>
      <w:pPr>
        <w:pStyle w:val="ListParagraph"/>
        <w:numPr>
          <w:ilvl w:val="0"/>
          <w:numId w:val="1"/>
        </w:numPr>
        <w:tabs>
          <w:tab w:pos="1024" w:val="left" w:leader="none"/>
          <w:tab w:pos="1025" w:val="left" w:leader="none"/>
        </w:tabs>
        <w:spacing w:line="240" w:lineRule="auto" w:before="110" w:after="0"/>
        <w:ind w:left="1024" w:right="0" w:hanging="853"/>
        <w:jc w:val="left"/>
        <w:rPr>
          <w:sz w:val="22"/>
        </w:rPr>
      </w:pPr>
      <w:r>
        <w:rPr>
          <w:b/>
          <w:sz w:val="22"/>
        </w:rPr>
        <w:t>Asanace území </w:t>
      </w:r>
      <w:r>
        <w:rPr>
          <w:sz w:val="22"/>
        </w:rPr>
        <w:t>se v ÚP</w:t>
      </w:r>
      <w:r>
        <w:rPr>
          <w:spacing w:val="-3"/>
          <w:sz w:val="22"/>
        </w:rPr>
        <w:t> </w:t>
      </w:r>
      <w:r>
        <w:rPr>
          <w:sz w:val="22"/>
        </w:rPr>
        <w:t>nenavrhují.</w:t>
      </w:r>
    </w:p>
    <w:p>
      <w:pPr>
        <w:pStyle w:val="BodyText"/>
        <w:spacing w:before="7"/>
        <w:ind w:left="0" w:firstLine="0"/>
        <w:jc w:val="left"/>
        <w:rPr>
          <w:sz w:val="17"/>
        </w:rPr>
      </w:pPr>
      <w:r>
        <w:rPr/>
        <w:pict>
          <v:group style="position:absolute;margin-left:55.199997pt;margin-top:12.088136pt;width:484.7pt;height:30.05pt;mso-position-horizontal-relative:page;mso-position-vertical-relative:paragraph;z-index:-15704064;mso-wrap-distance-left:0;mso-wrap-distance-right:0" coordorigin="1104,242" coordsize="9694,601">
            <v:shape style="position:absolute;left:1104;top:244;width:9694;height:598" coordorigin="1104,244" coordsize="9694,598" path="m10798,244l1104,244,1104,544,1104,842,10798,842,10798,544,10798,244xe" filled="true" fillcolor="#32cccc" stroked="false">
              <v:path arrowok="t"/>
              <v:fill type="solid"/>
            </v:shape>
            <v:shape style="position:absolute;left:1132;top:241;width:93;height:300" type="#_x0000_t202" filled="false" stroked="false">
              <v:textbox inset="0,0,0,0">
                <w:txbxContent>
                  <w:p>
                    <w:pPr>
                      <w:spacing w:line="298" w:lineRule="exact" w:before="0"/>
                      <w:ind w:left="0" w:right="0" w:firstLine="0"/>
                      <w:jc w:val="left"/>
                      <w:rPr>
                        <w:b/>
                        <w:sz w:val="26"/>
                      </w:rPr>
                    </w:pPr>
                    <w:r>
                      <w:rPr>
                        <w:b/>
                        <w:w w:val="99"/>
                        <w:sz w:val="26"/>
                      </w:rPr>
                      <w:t>I</w:t>
                    </w:r>
                  </w:p>
                </w:txbxContent>
              </v:textbox>
              <w10:wrap type="none"/>
            </v:shape>
            <v:shape style="position:absolute;left:1984;top:241;width:7965;height:600" type="#_x0000_t202" filled="false" stroked="false">
              <v:textbox inset="0,0,0,0">
                <w:txbxContent>
                  <w:p>
                    <w:pPr>
                      <w:spacing w:before="0"/>
                      <w:ind w:left="0" w:right="-1" w:firstLine="0"/>
                      <w:jc w:val="left"/>
                      <w:rPr>
                        <w:b/>
                        <w:sz w:val="26"/>
                      </w:rPr>
                    </w:pPr>
                    <w:r>
                      <w:rPr>
                        <w:b/>
                        <w:sz w:val="26"/>
                      </w:rPr>
                      <w:t>STANOVENÍ KOMPENZAČNÍCH OPATŘENÍ PODLE § 50 ODST. 6 STAVEBNÍHO ZÁKONA</w:t>
                    </w:r>
                  </w:p>
                </w:txbxContent>
              </v:textbox>
              <w10:wrap type="none"/>
            </v:shape>
            <w10:wrap type="topAndBottom"/>
          </v:group>
        </w:pict>
      </w:r>
    </w:p>
    <w:p>
      <w:pPr>
        <w:pStyle w:val="ListParagraph"/>
        <w:numPr>
          <w:ilvl w:val="0"/>
          <w:numId w:val="1"/>
        </w:numPr>
        <w:tabs>
          <w:tab w:pos="1024" w:val="left" w:leader="none"/>
          <w:tab w:pos="1025" w:val="left" w:leader="none"/>
        </w:tabs>
        <w:spacing w:line="240" w:lineRule="auto" w:before="88" w:after="0"/>
        <w:ind w:left="1024" w:right="0" w:hanging="853"/>
        <w:jc w:val="left"/>
        <w:rPr>
          <w:sz w:val="22"/>
        </w:rPr>
      </w:pPr>
      <w:r>
        <w:rPr>
          <w:sz w:val="22"/>
        </w:rPr>
        <w:t>Kompenzační opatření podle § 50 odst. 6 stavebního zákona se</w:t>
      </w:r>
      <w:r>
        <w:rPr>
          <w:spacing w:val="-15"/>
          <w:sz w:val="22"/>
        </w:rPr>
        <w:t> </w:t>
      </w:r>
      <w:r>
        <w:rPr>
          <w:sz w:val="22"/>
        </w:rPr>
        <w:t>nestanovují.</w:t>
      </w:r>
    </w:p>
    <w:p>
      <w:pPr>
        <w:spacing w:after="0" w:line="240" w:lineRule="auto"/>
        <w:jc w:val="left"/>
        <w:rPr>
          <w:sz w:val="22"/>
        </w:rPr>
        <w:sectPr>
          <w:pgSz w:w="11900" w:h="16840"/>
          <w:pgMar w:header="557" w:footer="582" w:top="760" w:bottom="780" w:left="960" w:right="980"/>
        </w:sectPr>
      </w:pPr>
    </w:p>
    <w:p>
      <w:pPr>
        <w:pStyle w:val="BodyText"/>
        <w:ind w:left="0" w:firstLine="0"/>
        <w:jc w:val="left"/>
        <w:rPr>
          <w:sz w:val="20"/>
        </w:rPr>
      </w:pPr>
    </w:p>
    <w:p>
      <w:pPr>
        <w:pStyle w:val="BodyText"/>
        <w:spacing w:before="8"/>
        <w:ind w:left="0" w:firstLine="0"/>
        <w:jc w:val="left"/>
        <w:rPr>
          <w:sz w:val="21"/>
        </w:rPr>
      </w:pPr>
    </w:p>
    <w:p>
      <w:pPr>
        <w:pStyle w:val="BodyText"/>
        <w:ind w:left="144" w:firstLine="0"/>
        <w:jc w:val="left"/>
        <w:rPr>
          <w:sz w:val="20"/>
        </w:rPr>
      </w:pPr>
      <w:r>
        <w:rPr>
          <w:sz w:val="20"/>
        </w:rPr>
        <w:pict>
          <v:shape style="width:484.7pt;height:15pt;mso-position-horizontal-relative:char;mso-position-vertical-relative:line" type="#_x0000_t202" filled="true" fillcolor="#32cccc" stroked="false">
            <w10:anchorlock/>
            <v:textbox inset="0,0,0,0">
              <w:txbxContent>
                <w:p>
                  <w:pPr>
                    <w:tabs>
                      <w:tab w:pos="880" w:val="left" w:leader="none"/>
                    </w:tabs>
                    <w:spacing w:line="295" w:lineRule="exact" w:before="0"/>
                    <w:ind w:left="28" w:right="0" w:firstLine="0"/>
                    <w:jc w:val="left"/>
                    <w:rPr>
                      <w:b/>
                      <w:sz w:val="26"/>
                    </w:rPr>
                  </w:pPr>
                  <w:r>
                    <w:rPr>
                      <w:b/>
                      <w:sz w:val="26"/>
                    </w:rPr>
                    <w:t>J</w:t>
                    <w:tab/>
                    <w:t>VYMEZENÍ PLOCH A KORIDORŮ ÚZEMNÍCH</w:t>
                  </w:r>
                  <w:r>
                    <w:rPr>
                      <w:b/>
                      <w:spacing w:val="-3"/>
                      <w:sz w:val="26"/>
                    </w:rPr>
                    <w:t> </w:t>
                  </w:r>
                  <w:r>
                    <w:rPr>
                      <w:b/>
                      <w:sz w:val="26"/>
                    </w:rPr>
                    <w:t>REZERV</w:t>
                  </w:r>
                </w:p>
              </w:txbxContent>
            </v:textbox>
            <v:fill type="solid"/>
          </v:shape>
        </w:pict>
      </w:r>
      <w:r>
        <w:rPr>
          <w:sz w:val="20"/>
        </w:rPr>
      </w:r>
    </w:p>
    <w:p>
      <w:pPr>
        <w:pStyle w:val="ListParagraph"/>
        <w:numPr>
          <w:ilvl w:val="0"/>
          <w:numId w:val="1"/>
        </w:numPr>
        <w:tabs>
          <w:tab w:pos="1024" w:val="left" w:leader="none"/>
          <w:tab w:pos="1025" w:val="left" w:leader="none"/>
        </w:tabs>
        <w:spacing w:line="240" w:lineRule="auto" w:before="100" w:after="0"/>
        <w:ind w:left="1024" w:right="146" w:hanging="853"/>
        <w:jc w:val="both"/>
        <w:rPr>
          <w:sz w:val="22"/>
        </w:rPr>
      </w:pPr>
      <w:r>
        <w:rPr>
          <w:sz w:val="22"/>
        </w:rPr>
        <w:t>Vymezují se plochy a koridory </w:t>
      </w:r>
      <w:r>
        <w:rPr>
          <w:b/>
          <w:sz w:val="22"/>
        </w:rPr>
        <w:t>územních rezerv </w:t>
      </w:r>
      <w:r>
        <w:rPr>
          <w:sz w:val="22"/>
        </w:rPr>
        <w:t>zakreslené v Hlavním výkresu (2) a uvedené v následujícím</w:t>
      </w:r>
      <w:r>
        <w:rPr>
          <w:spacing w:val="1"/>
          <w:sz w:val="22"/>
        </w:rPr>
        <w:t> </w:t>
      </w:r>
      <w:r>
        <w:rPr>
          <w:sz w:val="22"/>
        </w:rPr>
        <w:t>výčtu:</w:t>
      </w:r>
    </w:p>
    <w:p>
      <w:pPr>
        <w:tabs>
          <w:tab w:pos="1024" w:val="left" w:leader="none"/>
        </w:tabs>
        <w:spacing w:before="120" w:after="5"/>
        <w:ind w:left="172" w:right="0" w:firstLine="0"/>
        <w:jc w:val="left"/>
        <w:rPr>
          <w:b/>
          <w:sz w:val="18"/>
        </w:rPr>
      </w:pPr>
      <w:r>
        <w:rPr>
          <w:b/>
          <w:sz w:val="18"/>
        </w:rPr>
        <w:t>Tab.:</w:t>
        <w:tab/>
        <w:t>Vymezení koridorů územních</w:t>
      </w:r>
      <w:r>
        <w:rPr>
          <w:b/>
          <w:spacing w:val="-1"/>
          <w:sz w:val="18"/>
        </w:rPr>
        <w:t> </w:t>
      </w:r>
      <w:r>
        <w:rPr>
          <w:b/>
          <w:sz w:val="18"/>
        </w:rPr>
        <w:t>rezerv</w:t>
      </w: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5"/>
        <w:gridCol w:w="4394"/>
        <w:gridCol w:w="2692"/>
        <w:gridCol w:w="1415"/>
      </w:tblGrid>
      <w:tr>
        <w:trPr>
          <w:trHeight w:val="474" w:hRule="atLeast"/>
        </w:trPr>
        <w:tc>
          <w:tcPr>
            <w:tcW w:w="1135" w:type="dxa"/>
            <w:shd w:val="clear" w:color="auto" w:fill="CCFFFF"/>
          </w:tcPr>
          <w:p>
            <w:pPr>
              <w:pStyle w:val="TableParagraph"/>
              <w:spacing w:before="32"/>
              <w:ind w:left="71" w:right="403"/>
              <w:rPr>
                <w:b/>
                <w:sz w:val="18"/>
              </w:rPr>
            </w:pPr>
            <w:r>
              <w:rPr>
                <w:b/>
                <w:sz w:val="18"/>
              </w:rPr>
              <w:t>plocha/ koridor</w:t>
            </w:r>
          </w:p>
        </w:tc>
        <w:tc>
          <w:tcPr>
            <w:tcW w:w="4394" w:type="dxa"/>
            <w:shd w:val="clear" w:color="auto" w:fill="CCFFFF"/>
          </w:tcPr>
          <w:p>
            <w:pPr>
              <w:pStyle w:val="TableParagraph"/>
              <w:spacing w:before="138"/>
              <w:ind w:left="71"/>
              <w:rPr>
                <w:b/>
                <w:sz w:val="18"/>
              </w:rPr>
            </w:pPr>
            <w:r>
              <w:rPr>
                <w:b/>
                <w:sz w:val="18"/>
              </w:rPr>
              <w:t>umístění / účel</w:t>
            </w:r>
          </w:p>
        </w:tc>
        <w:tc>
          <w:tcPr>
            <w:tcW w:w="2692" w:type="dxa"/>
            <w:shd w:val="clear" w:color="auto" w:fill="CCFFFF"/>
          </w:tcPr>
          <w:p>
            <w:pPr>
              <w:pStyle w:val="TableParagraph"/>
              <w:spacing w:before="138"/>
              <w:ind w:left="72"/>
              <w:rPr>
                <w:b/>
                <w:sz w:val="18"/>
              </w:rPr>
            </w:pPr>
            <w:r>
              <w:rPr>
                <w:b/>
                <w:sz w:val="18"/>
              </w:rPr>
              <w:t>využití navržené v ÚP</w:t>
            </w:r>
          </w:p>
        </w:tc>
        <w:tc>
          <w:tcPr>
            <w:tcW w:w="1415" w:type="dxa"/>
            <w:shd w:val="clear" w:color="auto" w:fill="CCFFFF"/>
          </w:tcPr>
          <w:p>
            <w:pPr>
              <w:pStyle w:val="TableParagraph"/>
              <w:spacing w:before="138"/>
              <w:ind w:left="269"/>
              <w:rPr>
                <w:b/>
                <w:sz w:val="18"/>
              </w:rPr>
            </w:pPr>
            <w:r>
              <w:rPr>
                <w:b/>
                <w:sz w:val="18"/>
              </w:rPr>
              <w:t>poznámka</w:t>
            </w:r>
          </w:p>
        </w:tc>
      </w:tr>
      <w:tr>
        <w:trPr>
          <w:trHeight w:val="234" w:hRule="atLeast"/>
        </w:trPr>
        <w:tc>
          <w:tcPr>
            <w:tcW w:w="1135" w:type="dxa"/>
          </w:tcPr>
          <w:p>
            <w:pPr>
              <w:pStyle w:val="TableParagraph"/>
              <w:spacing w:line="189" w:lineRule="exact" w:before="25"/>
              <w:rPr>
                <w:sz w:val="18"/>
              </w:rPr>
            </w:pPr>
            <w:r>
              <w:rPr>
                <w:sz w:val="18"/>
              </w:rPr>
              <w:t>R11.O</w:t>
            </w:r>
          </w:p>
        </w:tc>
        <w:tc>
          <w:tcPr>
            <w:tcW w:w="4394" w:type="dxa"/>
          </w:tcPr>
          <w:p>
            <w:pPr>
              <w:pStyle w:val="TableParagraph"/>
              <w:spacing w:line="189" w:lineRule="exact" w:before="25"/>
              <w:rPr>
                <w:sz w:val="18"/>
              </w:rPr>
            </w:pPr>
            <w:r>
              <w:rPr>
                <w:sz w:val="18"/>
              </w:rPr>
              <w:t>Školní ulice - střední nebo speciální školství</w:t>
            </w:r>
          </w:p>
        </w:tc>
        <w:tc>
          <w:tcPr>
            <w:tcW w:w="2692" w:type="dxa"/>
          </w:tcPr>
          <w:p>
            <w:pPr>
              <w:pStyle w:val="TableParagraph"/>
              <w:spacing w:line="189" w:lineRule="exact" w:before="25"/>
              <w:ind w:left="130"/>
              <w:rPr>
                <w:sz w:val="18"/>
              </w:rPr>
            </w:pPr>
            <w:r>
              <w:rPr>
                <w:sz w:val="18"/>
              </w:rPr>
              <w:t>plochy sídelní zeleně (Z)</w:t>
            </w:r>
          </w:p>
        </w:tc>
        <w:tc>
          <w:tcPr>
            <w:tcW w:w="1415" w:type="dxa"/>
          </w:tcPr>
          <w:p>
            <w:pPr>
              <w:pStyle w:val="TableParagraph"/>
              <w:ind w:left="0"/>
              <w:rPr>
                <w:rFonts w:ascii="Times New Roman"/>
                <w:sz w:val="16"/>
              </w:rPr>
            </w:pPr>
          </w:p>
        </w:tc>
      </w:tr>
      <w:tr>
        <w:trPr>
          <w:trHeight w:val="234" w:hRule="atLeast"/>
        </w:trPr>
        <w:tc>
          <w:tcPr>
            <w:tcW w:w="1135" w:type="dxa"/>
          </w:tcPr>
          <w:p>
            <w:pPr>
              <w:pStyle w:val="TableParagraph"/>
              <w:spacing w:line="189" w:lineRule="exact" w:before="25"/>
              <w:rPr>
                <w:sz w:val="18"/>
              </w:rPr>
            </w:pPr>
            <w:r>
              <w:rPr>
                <w:sz w:val="18"/>
              </w:rPr>
              <w:t>R12.O</w:t>
            </w:r>
          </w:p>
        </w:tc>
        <w:tc>
          <w:tcPr>
            <w:tcW w:w="4394" w:type="dxa"/>
          </w:tcPr>
          <w:p>
            <w:pPr>
              <w:pStyle w:val="TableParagraph"/>
              <w:spacing w:line="189" w:lineRule="exact" w:before="25"/>
              <w:rPr>
                <w:sz w:val="18"/>
              </w:rPr>
            </w:pPr>
            <w:r>
              <w:rPr>
                <w:sz w:val="18"/>
              </w:rPr>
              <w:t>Školní ulice - střední nebo speciální školství</w:t>
            </w:r>
          </w:p>
        </w:tc>
        <w:tc>
          <w:tcPr>
            <w:tcW w:w="2692" w:type="dxa"/>
          </w:tcPr>
          <w:p>
            <w:pPr>
              <w:pStyle w:val="TableParagraph"/>
              <w:spacing w:line="189" w:lineRule="exact" w:before="25"/>
              <w:ind w:left="130"/>
              <w:rPr>
                <w:sz w:val="18"/>
              </w:rPr>
            </w:pPr>
            <w:r>
              <w:rPr>
                <w:sz w:val="18"/>
              </w:rPr>
              <w:t>plochy zemědělské (K)</w:t>
            </w:r>
          </w:p>
        </w:tc>
        <w:tc>
          <w:tcPr>
            <w:tcW w:w="1415" w:type="dxa"/>
          </w:tcPr>
          <w:p>
            <w:pPr>
              <w:pStyle w:val="TableParagraph"/>
              <w:ind w:left="0"/>
              <w:rPr>
                <w:rFonts w:ascii="Times New Roman"/>
                <w:sz w:val="16"/>
              </w:rPr>
            </w:pPr>
          </w:p>
        </w:tc>
      </w:tr>
      <w:tr>
        <w:trPr>
          <w:trHeight w:val="234" w:hRule="atLeast"/>
        </w:trPr>
        <w:tc>
          <w:tcPr>
            <w:tcW w:w="1135" w:type="dxa"/>
          </w:tcPr>
          <w:p>
            <w:pPr>
              <w:pStyle w:val="TableParagraph"/>
              <w:spacing w:line="189" w:lineRule="exact" w:before="25"/>
              <w:rPr>
                <w:sz w:val="18"/>
              </w:rPr>
            </w:pPr>
            <w:r>
              <w:rPr>
                <w:sz w:val="18"/>
              </w:rPr>
              <w:t>R61.M</w:t>
            </w:r>
          </w:p>
        </w:tc>
        <w:tc>
          <w:tcPr>
            <w:tcW w:w="4394" w:type="dxa"/>
          </w:tcPr>
          <w:p>
            <w:pPr>
              <w:pStyle w:val="TableParagraph"/>
              <w:spacing w:line="189" w:lineRule="exact" w:before="25"/>
              <w:rPr>
                <w:sz w:val="18"/>
              </w:rPr>
            </w:pPr>
            <w:r>
              <w:rPr>
                <w:sz w:val="18"/>
              </w:rPr>
              <w:t>průtah I/35 – připojovací rameno z Pobřežní ulice</w:t>
            </w:r>
          </w:p>
        </w:tc>
        <w:tc>
          <w:tcPr>
            <w:tcW w:w="2692" w:type="dxa"/>
          </w:tcPr>
          <w:p>
            <w:pPr>
              <w:pStyle w:val="TableParagraph"/>
              <w:spacing w:line="189" w:lineRule="exact" w:before="25"/>
              <w:ind w:left="130"/>
              <w:rPr>
                <w:sz w:val="18"/>
              </w:rPr>
            </w:pPr>
            <w:r>
              <w:rPr>
                <w:sz w:val="18"/>
              </w:rPr>
              <w:t>plochy sídelní zeleně (Z)</w:t>
            </w:r>
          </w:p>
        </w:tc>
        <w:tc>
          <w:tcPr>
            <w:tcW w:w="1415" w:type="dxa"/>
          </w:tcPr>
          <w:p>
            <w:pPr>
              <w:pStyle w:val="TableParagraph"/>
              <w:ind w:left="0"/>
              <w:rPr>
                <w:rFonts w:ascii="Times New Roman"/>
                <w:sz w:val="16"/>
              </w:rPr>
            </w:pPr>
          </w:p>
        </w:tc>
      </w:tr>
      <w:tr>
        <w:trPr>
          <w:trHeight w:val="234" w:hRule="atLeast"/>
        </w:trPr>
        <w:tc>
          <w:tcPr>
            <w:tcW w:w="1135" w:type="dxa"/>
          </w:tcPr>
          <w:p>
            <w:pPr>
              <w:pStyle w:val="TableParagraph"/>
              <w:spacing w:line="189" w:lineRule="exact" w:before="25"/>
              <w:rPr>
                <w:sz w:val="18"/>
              </w:rPr>
            </w:pPr>
            <w:r>
              <w:rPr>
                <w:sz w:val="18"/>
              </w:rPr>
              <w:t>R141.A</w:t>
            </w:r>
          </w:p>
        </w:tc>
        <w:tc>
          <w:tcPr>
            <w:tcW w:w="4394" w:type="dxa"/>
          </w:tcPr>
          <w:p>
            <w:pPr>
              <w:pStyle w:val="TableParagraph"/>
              <w:spacing w:line="189" w:lineRule="exact" w:before="25"/>
              <w:rPr>
                <w:sz w:val="18"/>
              </w:rPr>
            </w:pPr>
            <w:r>
              <w:rPr>
                <w:sz w:val="18"/>
              </w:rPr>
              <w:t>Vítkovská – využití rekultivované skládky</w:t>
            </w:r>
          </w:p>
        </w:tc>
        <w:tc>
          <w:tcPr>
            <w:tcW w:w="2692" w:type="dxa"/>
          </w:tcPr>
          <w:p>
            <w:pPr>
              <w:pStyle w:val="TableParagraph"/>
              <w:spacing w:line="189" w:lineRule="exact" w:before="25"/>
              <w:rPr>
                <w:sz w:val="18"/>
              </w:rPr>
            </w:pPr>
            <w:r>
              <w:rPr>
                <w:sz w:val="18"/>
              </w:rPr>
              <w:t>plochy zemědělské (K)</w:t>
            </w:r>
          </w:p>
        </w:tc>
        <w:tc>
          <w:tcPr>
            <w:tcW w:w="1415" w:type="dxa"/>
          </w:tcPr>
          <w:p>
            <w:pPr>
              <w:pStyle w:val="TableParagraph"/>
              <w:ind w:left="0"/>
              <w:rPr>
                <w:rFonts w:ascii="Times New Roman"/>
                <w:sz w:val="16"/>
              </w:rPr>
            </w:pPr>
          </w:p>
        </w:tc>
      </w:tr>
    </w:tbl>
    <w:p>
      <w:pPr>
        <w:pStyle w:val="BodyText"/>
        <w:spacing w:before="2"/>
        <w:ind w:left="0" w:firstLine="0"/>
        <w:jc w:val="left"/>
        <w:rPr>
          <w:b/>
          <w:sz w:val="17"/>
        </w:rPr>
      </w:pPr>
      <w:r>
        <w:rPr/>
        <w:pict>
          <v:group style="position:absolute;margin-left:55.199997pt;margin-top:11.870078pt;width:484.7pt;height:30.05pt;mso-position-horizontal-relative:page;mso-position-vertical-relative:paragraph;z-index:-15702016;mso-wrap-distance-left:0;mso-wrap-distance-right:0" coordorigin="1104,237" coordsize="9694,601">
            <v:shape style="position:absolute;left:1104;top:240;width:9694;height:598" coordorigin="1104,240" coordsize="9694,598" path="m10798,240l1104,240,1104,540,1104,838,10798,838,10798,540,10798,240xe" filled="true" fillcolor="#32cccc" stroked="false">
              <v:path arrowok="t"/>
              <v:fill type="solid"/>
            </v:shape>
            <v:shape style="position:absolute;left:1132;top:237;width:208;height:300" type="#_x0000_t202" filled="false" stroked="false">
              <v:textbox inset="0,0,0,0">
                <w:txbxContent>
                  <w:p>
                    <w:pPr>
                      <w:spacing w:line="298" w:lineRule="exact" w:before="0"/>
                      <w:ind w:left="0" w:right="0" w:firstLine="0"/>
                      <w:jc w:val="left"/>
                      <w:rPr>
                        <w:b/>
                        <w:sz w:val="26"/>
                      </w:rPr>
                    </w:pPr>
                    <w:r>
                      <w:rPr>
                        <w:b/>
                        <w:w w:val="99"/>
                        <w:sz w:val="26"/>
                      </w:rPr>
                      <w:t>K</w:t>
                    </w:r>
                  </w:p>
                </w:txbxContent>
              </v:textbox>
              <w10:wrap type="none"/>
            </v:shape>
            <v:shape style="position:absolute;left:1984;top:237;width:8209;height:600" type="#_x0000_t202" filled="false" stroked="false">
              <v:textbox inset="0,0,0,0">
                <w:txbxContent>
                  <w:p>
                    <w:pPr>
                      <w:spacing w:before="0"/>
                      <w:ind w:left="0" w:right="-2" w:firstLine="0"/>
                      <w:jc w:val="left"/>
                      <w:rPr>
                        <w:b/>
                        <w:sz w:val="26"/>
                      </w:rPr>
                    </w:pPr>
                    <w:r>
                      <w:rPr>
                        <w:b/>
                        <w:sz w:val="26"/>
                      </w:rPr>
                      <w:t>VYMEZENÍ PLOCH, VE KTERÝCH JE ROZHODOVÁNÍ O ZMĚNÁCH V ÚZEMÍ PODMÍNĚNO DOHODOU O PARCELACI</w:t>
                    </w:r>
                  </w:p>
                </w:txbxContent>
              </v:textbox>
              <w10:wrap type="none"/>
            </v:shape>
            <w10:wrap type="topAndBottom"/>
          </v:group>
        </w:pict>
      </w:r>
    </w:p>
    <w:p>
      <w:pPr>
        <w:pStyle w:val="ListParagraph"/>
        <w:numPr>
          <w:ilvl w:val="0"/>
          <w:numId w:val="1"/>
        </w:numPr>
        <w:tabs>
          <w:tab w:pos="1024" w:val="left" w:leader="none"/>
          <w:tab w:pos="1025" w:val="left" w:leader="none"/>
        </w:tabs>
        <w:spacing w:line="240" w:lineRule="auto" w:before="86" w:after="0"/>
        <w:ind w:left="1024" w:right="147" w:hanging="852"/>
        <w:jc w:val="both"/>
        <w:rPr>
          <w:sz w:val="22"/>
        </w:rPr>
      </w:pPr>
      <w:r>
        <w:rPr>
          <w:sz w:val="22"/>
        </w:rPr>
        <w:t>Rozhodování o využití stabilizovaných a rozvojových ploch musí zohlednit </w:t>
      </w:r>
      <w:r>
        <w:rPr>
          <w:b/>
          <w:sz w:val="22"/>
        </w:rPr>
        <w:t>komplexní řešení, </w:t>
      </w:r>
      <w:r>
        <w:rPr>
          <w:sz w:val="22"/>
        </w:rPr>
        <w:t>kterým je umisťování přiměřeného rozsahu veřejných prostranství, komunikací, zeleně a občanského vybavení za účelem dosáhnout optimálního uspořádání území v rámci daných ploch s rozdílným způsobem</w:t>
      </w:r>
      <w:r>
        <w:rPr>
          <w:spacing w:val="-2"/>
          <w:sz w:val="22"/>
        </w:rPr>
        <w:t> </w:t>
      </w:r>
      <w:r>
        <w:rPr>
          <w:sz w:val="22"/>
        </w:rPr>
        <w:t>využití.</w:t>
      </w:r>
    </w:p>
    <w:p>
      <w:pPr>
        <w:pStyle w:val="ListParagraph"/>
        <w:numPr>
          <w:ilvl w:val="0"/>
          <w:numId w:val="1"/>
        </w:numPr>
        <w:tabs>
          <w:tab w:pos="1024" w:val="left" w:leader="none"/>
          <w:tab w:pos="1025" w:val="left" w:leader="none"/>
        </w:tabs>
        <w:spacing w:line="240" w:lineRule="auto" w:before="121" w:after="0"/>
        <w:ind w:left="1024" w:right="146" w:hanging="852"/>
        <w:jc w:val="both"/>
        <w:rPr>
          <w:sz w:val="22"/>
        </w:rPr>
      </w:pPr>
      <w:r>
        <w:rPr>
          <w:sz w:val="22"/>
        </w:rPr>
        <w:t>Na plochách s monofunkční strukturou určených zejména pro výstavbu </w:t>
      </w:r>
      <w:r>
        <w:rPr>
          <w:b/>
          <w:sz w:val="22"/>
        </w:rPr>
        <w:t>rodinných domů </w:t>
      </w:r>
      <w:r>
        <w:rPr>
          <w:sz w:val="22"/>
        </w:rPr>
        <w:t>je toto komplexní řešení možno zajistit pouhou dohodou o parcelaci bez nutnosti pořízení územní studie nebo regulačního</w:t>
      </w:r>
      <w:r>
        <w:rPr>
          <w:spacing w:val="-6"/>
          <w:sz w:val="22"/>
        </w:rPr>
        <w:t> </w:t>
      </w:r>
      <w:r>
        <w:rPr>
          <w:sz w:val="22"/>
        </w:rPr>
        <w:t>plánu,</w:t>
      </w:r>
    </w:p>
    <w:p>
      <w:pPr>
        <w:pStyle w:val="ListParagraph"/>
        <w:numPr>
          <w:ilvl w:val="0"/>
          <w:numId w:val="2"/>
        </w:numPr>
        <w:tabs>
          <w:tab w:pos="1024" w:val="left" w:leader="none"/>
          <w:tab w:pos="1025" w:val="left" w:leader="none"/>
        </w:tabs>
        <w:spacing w:line="240" w:lineRule="auto" w:before="40" w:after="0"/>
        <w:ind w:left="1024" w:right="146" w:hanging="853"/>
        <w:jc w:val="both"/>
        <w:rPr>
          <w:sz w:val="22"/>
        </w:rPr>
      </w:pPr>
      <w:r>
        <w:rPr>
          <w:sz w:val="22"/>
        </w:rPr>
        <w:t>rozvojové plochy, ve kterých je rozhodování o změnách v území podmíněno </w:t>
      </w:r>
      <w:r>
        <w:rPr>
          <w:b/>
          <w:sz w:val="22"/>
        </w:rPr>
        <w:t>dohodou o parcelaci  </w:t>
      </w:r>
      <w:r>
        <w:rPr>
          <w:sz w:val="22"/>
        </w:rPr>
        <w:t>jsou  zakresleny  ve  Výkresu  základního   členění  území  (1)  a  uvedeny      v následujícím výčtu (některé plochy budou prověřovány ve skupinách jako</w:t>
      </w:r>
      <w:r>
        <w:rPr>
          <w:spacing w:val="-21"/>
          <w:sz w:val="22"/>
        </w:rPr>
        <w:t> </w:t>
      </w:r>
      <w:r>
        <w:rPr>
          <w:sz w:val="22"/>
        </w:rPr>
        <w:t>celek):</w:t>
      </w:r>
    </w:p>
    <w:p>
      <w:pPr>
        <w:pStyle w:val="Heading3"/>
        <w:tabs>
          <w:tab w:pos="1024" w:val="left" w:leader="none"/>
        </w:tabs>
        <w:spacing w:before="39"/>
        <w:ind w:right="147" w:hanging="853"/>
        <w:jc w:val="both"/>
      </w:pPr>
      <w:r>
        <w:rPr>
          <w:rFonts w:ascii="Times New Roman"/>
          <w:b w:val="0"/>
        </w:rPr>
        <w:t>-</w:t>
        <w:tab/>
      </w:r>
      <w:r>
        <w:rPr/>
        <w:t>31.B, 46.B, 54.B, .55.B, 74.B, 87.B, 88.B, 106.B, 108.B, 109.B, 110.B, 122.B, 123.P, 131.B, 136.B, 138.B, 139.B, 140.B, 152.A, 170.B,</w:t>
      </w:r>
      <w:r>
        <w:rPr>
          <w:spacing w:val="4"/>
        </w:rPr>
        <w:t> </w:t>
      </w:r>
      <w:r>
        <w:rPr/>
        <w:t>177.B.</w:t>
      </w:r>
    </w:p>
    <w:p>
      <w:pPr>
        <w:pStyle w:val="BodyText"/>
        <w:spacing w:before="5"/>
        <w:ind w:left="0" w:firstLine="0"/>
        <w:jc w:val="left"/>
        <w:rPr>
          <w:b/>
          <w:sz w:val="12"/>
        </w:rPr>
      </w:pPr>
      <w:r>
        <w:rPr/>
        <w:pict>
          <v:group style="position:absolute;margin-left:55.199997pt;margin-top:9.116207pt;width:484.7pt;height:30.05pt;mso-position-horizontal-relative:page;mso-position-vertical-relative:paragraph;z-index:-15700480;mso-wrap-distance-left:0;mso-wrap-distance-right:0" coordorigin="1104,182" coordsize="9694,601">
            <v:shape style="position:absolute;left:1104;top:184;width:9694;height:598" coordorigin="1104,185" coordsize="9694,598" path="m10798,185l1104,185,1104,483,1104,783,10798,783,10798,483,10798,185xe" filled="true" fillcolor="#32cccc" stroked="false">
              <v:path arrowok="t"/>
              <v:fill type="solid"/>
            </v:shape>
            <v:shape style="position:absolute;left:1132;top:182;width:179;height:300" type="#_x0000_t202" filled="false" stroked="false">
              <v:textbox inset="0,0,0,0">
                <w:txbxContent>
                  <w:p>
                    <w:pPr>
                      <w:spacing w:line="298" w:lineRule="exact" w:before="0"/>
                      <w:ind w:left="0" w:right="0" w:firstLine="0"/>
                      <w:jc w:val="left"/>
                      <w:rPr>
                        <w:b/>
                        <w:sz w:val="26"/>
                      </w:rPr>
                    </w:pPr>
                    <w:r>
                      <w:rPr>
                        <w:b/>
                        <w:w w:val="99"/>
                        <w:sz w:val="26"/>
                      </w:rPr>
                      <w:t>L</w:t>
                    </w:r>
                  </w:p>
                </w:txbxContent>
              </v:textbox>
              <w10:wrap type="none"/>
            </v:shape>
            <v:shape style="position:absolute;left:1984;top:182;width:8584;height:597" type="#_x0000_t202" filled="false" stroked="false">
              <v:textbox inset="0,0,0,0">
                <w:txbxContent>
                  <w:p>
                    <w:pPr>
                      <w:spacing w:before="0"/>
                      <w:ind w:left="0" w:right="-3" w:firstLine="0"/>
                      <w:jc w:val="left"/>
                      <w:rPr>
                        <w:b/>
                        <w:sz w:val="26"/>
                      </w:rPr>
                    </w:pPr>
                    <w:r>
                      <w:rPr>
                        <w:b/>
                        <w:sz w:val="26"/>
                      </w:rPr>
                      <w:t>VYMEZENÍ PLOCH A KORIDORŮ, VE KTERÝCH JE ROZHODOVÁNÍ O ZMĚNÁCH V ÚZEMÍ PODMÍNĚNO ZPRACOVÁNÍM ÚZEMNÍ STUDIE</w:t>
                    </w:r>
                  </w:p>
                </w:txbxContent>
              </v:textbox>
              <w10:wrap type="none"/>
            </v:shape>
            <w10:wrap type="topAndBottom"/>
          </v:group>
        </w:pict>
      </w:r>
    </w:p>
    <w:p>
      <w:pPr>
        <w:pStyle w:val="ListParagraph"/>
        <w:numPr>
          <w:ilvl w:val="0"/>
          <w:numId w:val="1"/>
        </w:numPr>
        <w:tabs>
          <w:tab w:pos="1024" w:val="left" w:leader="none"/>
          <w:tab w:pos="1025" w:val="left" w:leader="none"/>
        </w:tabs>
        <w:spacing w:line="240" w:lineRule="auto" w:before="86" w:after="0"/>
        <w:ind w:left="1024" w:right="147" w:hanging="852"/>
        <w:jc w:val="both"/>
        <w:rPr>
          <w:sz w:val="22"/>
        </w:rPr>
      </w:pPr>
      <w:r>
        <w:rPr>
          <w:sz w:val="22"/>
        </w:rPr>
        <w:t>Rozhodování o využití stabilizovaných a rozvojových ploch musí zohlednit </w:t>
      </w:r>
      <w:r>
        <w:rPr>
          <w:b/>
          <w:sz w:val="22"/>
        </w:rPr>
        <w:t>komplexní řešení, </w:t>
      </w:r>
      <w:r>
        <w:rPr>
          <w:sz w:val="22"/>
        </w:rPr>
        <w:t>kterým je umisťování přiměřeného rozsahu veřejných prostranství, komunikací, zeleně a občanského vybavení za účelem dosáhnout optimálního uspořádání území v rámci daných ploch s rozdílným způsobem</w:t>
      </w:r>
      <w:r>
        <w:rPr>
          <w:spacing w:val="-2"/>
          <w:sz w:val="22"/>
        </w:rPr>
        <w:t> </w:t>
      </w:r>
      <w:r>
        <w:rPr>
          <w:sz w:val="22"/>
        </w:rPr>
        <w:t>využití.</w:t>
      </w:r>
    </w:p>
    <w:p>
      <w:pPr>
        <w:pStyle w:val="ListParagraph"/>
        <w:numPr>
          <w:ilvl w:val="0"/>
          <w:numId w:val="1"/>
        </w:numPr>
        <w:tabs>
          <w:tab w:pos="1024" w:val="left" w:leader="none"/>
          <w:tab w:pos="1025" w:val="left" w:leader="none"/>
        </w:tabs>
        <w:spacing w:line="240" w:lineRule="auto" w:before="118" w:after="0"/>
        <w:ind w:left="1024" w:right="150" w:hanging="852"/>
        <w:jc w:val="both"/>
        <w:rPr>
          <w:sz w:val="22"/>
        </w:rPr>
      </w:pPr>
      <w:r>
        <w:rPr>
          <w:sz w:val="22"/>
        </w:rPr>
        <w:t>Na soustředěných zastavitelných plochách s polyfunkční strukturou a </w:t>
      </w:r>
      <w:r>
        <w:rPr>
          <w:b/>
          <w:sz w:val="22"/>
        </w:rPr>
        <w:t>složitými prostorovými vazbami </w:t>
      </w:r>
      <w:r>
        <w:rPr>
          <w:sz w:val="22"/>
        </w:rPr>
        <w:t>je toto komplexní řešení nutno zajistit pořízením územní</w:t>
      </w:r>
      <w:r>
        <w:rPr>
          <w:spacing w:val="-29"/>
          <w:sz w:val="22"/>
        </w:rPr>
        <w:t> </w:t>
      </w:r>
      <w:r>
        <w:rPr>
          <w:sz w:val="22"/>
        </w:rPr>
        <w:t>studie,</w:t>
      </w:r>
    </w:p>
    <w:p>
      <w:pPr>
        <w:pStyle w:val="ListParagraph"/>
        <w:numPr>
          <w:ilvl w:val="0"/>
          <w:numId w:val="2"/>
        </w:numPr>
        <w:tabs>
          <w:tab w:pos="1024" w:val="left" w:leader="none"/>
          <w:tab w:pos="1025" w:val="left" w:leader="none"/>
        </w:tabs>
        <w:spacing w:line="240" w:lineRule="auto" w:before="44" w:after="0"/>
        <w:ind w:left="1024" w:right="146" w:hanging="852"/>
        <w:jc w:val="both"/>
        <w:rPr>
          <w:sz w:val="22"/>
        </w:rPr>
      </w:pPr>
      <w:r>
        <w:rPr>
          <w:sz w:val="22"/>
        </w:rPr>
        <w:t>rozvojové </w:t>
      </w:r>
      <w:r>
        <w:rPr>
          <w:spacing w:val="-3"/>
          <w:sz w:val="22"/>
        </w:rPr>
        <w:t>plochy, </w:t>
      </w:r>
      <w:r>
        <w:rPr>
          <w:sz w:val="22"/>
        </w:rPr>
        <w:t>ve kterých je rozhodování o změnách v území podmíněno zpracováním územní studie  jsou  zakresleny  ve  Výkresu  základního  členění  území  (1)  a  uvedeny v následujícím</w:t>
      </w:r>
      <w:r>
        <w:rPr>
          <w:spacing w:val="-1"/>
          <w:sz w:val="22"/>
        </w:rPr>
        <w:t> </w:t>
      </w:r>
      <w:r>
        <w:rPr>
          <w:sz w:val="22"/>
        </w:rPr>
        <w:t>výčtu:</w:t>
      </w:r>
    </w:p>
    <w:p>
      <w:pPr>
        <w:pStyle w:val="Heading3"/>
        <w:tabs>
          <w:tab w:pos="1024" w:val="left" w:leader="none"/>
        </w:tabs>
        <w:spacing w:before="37"/>
        <w:ind w:left="172"/>
        <w:jc w:val="both"/>
      </w:pPr>
      <w:r>
        <w:rPr>
          <w:rFonts w:ascii="Times New Roman"/>
          <w:b w:val="0"/>
        </w:rPr>
        <w:t>-</w:t>
        <w:tab/>
      </w:r>
      <w:r>
        <w:rPr/>
        <w:t>22.B, 23.B, 24.P, 25.P, 49.B, 50.P, 70.B, 71.C, 72.P, 77.A, 79.C, 80.A, 81.A,</w:t>
      </w:r>
      <w:r>
        <w:rPr>
          <w:spacing w:val="-10"/>
        </w:rPr>
        <w:t> </w:t>
      </w:r>
      <w:r>
        <w:rPr/>
        <w:t>82.A.</w:t>
      </w:r>
    </w:p>
    <w:p>
      <w:pPr>
        <w:pStyle w:val="ListParagraph"/>
        <w:numPr>
          <w:ilvl w:val="0"/>
          <w:numId w:val="1"/>
        </w:numPr>
        <w:tabs>
          <w:tab w:pos="1024" w:val="left" w:leader="none"/>
          <w:tab w:pos="1025" w:val="left" w:leader="none"/>
        </w:tabs>
        <w:spacing w:line="242" w:lineRule="auto" w:before="118" w:after="0"/>
        <w:ind w:left="1024" w:right="145" w:hanging="852"/>
        <w:jc w:val="both"/>
        <w:rPr>
          <w:sz w:val="22"/>
        </w:rPr>
      </w:pPr>
      <w:r>
        <w:rPr>
          <w:sz w:val="22"/>
        </w:rPr>
        <w:t>Územní studie může být pořízena i na dalších plochách vč. </w:t>
      </w:r>
      <w:r>
        <w:rPr>
          <w:b/>
          <w:sz w:val="22"/>
        </w:rPr>
        <w:t>ploch stabilizovaných</w:t>
      </w:r>
      <w:r>
        <w:rPr>
          <w:sz w:val="22"/>
        </w:rPr>
        <w:t>, kde by jejich následným dělením na stavební pozemky mohlo dojít k znehodnocení části území nebo jeho vazeb na území</w:t>
      </w:r>
      <w:r>
        <w:rPr>
          <w:spacing w:val="-10"/>
          <w:sz w:val="22"/>
        </w:rPr>
        <w:t> </w:t>
      </w:r>
      <w:r>
        <w:rPr>
          <w:sz w:val="22"/>
        </w:rPr>
        <w:t>navazující.</w:t>
      </w:r>
    </w:p>
    <w:p>
      <w:pPr>
        <w:pStyle w:val="ListParagraph"/>
        <w:numPr>
          <w:ilvl w:val="0"/>
          <w:numId w:val="1"/>
        </w:numPr>
        <w:tabs>
          <w:tab w:pos="1024" w:val="left" w:leader="none"/>
          <w:tab w:pos="1025" w:val="left" w:leader="none"/>
        </w:tabs>
        <w:spacing w:line="240" w:lineRule="auto" w:before="52" w:after="0"/>
        <w:ind w:left="1024" w:right="0" w:hanging="853"/>
        <w:jc w:val="left"/>
        <w:rPr>
          <w:sz w:val="22"/>
        </w:rPr>
      </w:pPr>
      <w:r>
        <w:rPr>
          <w:sz w:val="22"/>
        </w:rPr>
        <w:t>Územní studie podrobně</w:t>
      </w:r>
      <w:r>
        <w:rPr>
          <w:spacing w:val="-6"/>
          <w:sz w:val="22"/>
        </w:rPr>
        <w:t> </w:t>
      </w:r>
      <w:r>
        <w:rPr>
          <w:b/>
          <w:sz w:val="22"/>
        </w:rPr>
        <w:t>upřesní</w:t>
      </w:r>
      <w:r>
        <w:rPr>
          <w:sz w:val="22"/>
        </w:rPr>
        <w:t>:</w:t>
      </w:r>
    </w:p>
    <w:p>
      <w:pPr>
        <w:pStyle w:val="ListParagraph"/>
        <w:numPr>
          <w:ilvl w:val="0"/>
          <w:numId w:val="2"/>
        </w:numPr>
        <w:tabs>
          <w:tab w:pos="1024" w:val="left" w:leader="none"/>
          <w:tab w:pos="1025" w:val="left" w:leader="none"/>
        </w:tabs>
        <w:spacing w:line="240" w:lineRule="auto" w:before="23" w:after="0"/>
        <w:ind w:left="1024" w:right="0" w:hanging="853"/>
        <w:jc w:val="left"/>
        <w:rPr>
          <w:sz w:val="22"/>
        </w:rPr>
      </w:pPr>
      <w:r>
        <w:rPr>
          <w:sz w:val="22"/>
        </w:rPr>
        <w:t>nezastavitelné části zastavěných a zastavitelných ploch,</w:t>
      </w:r>
    </w:p>
    <w:p>
      <w:pPr>
        <w:pStyle w:val="ListParagraph"/>
        <w:numPr>
          <w:ilvl w:val="0"/>
          <w:numId w:val="2"/>
        </w:numPr>
        <w:tabs>
          <w:tab w:pos="1024" w:val="left" w:leader="none"/>
          <w:tab w:pos="1025" w:val="left" w:leader="none"/>
        </w:tabs>
        <w:spacing w:line="240" w:lineRule="auto" w:before="20" w:after="0"/>
        <w:ind w:left="1024" w:right="0" w:hanging="853"/>
        <w:jc w:val="left"/>
        <w:rPr>
          <w:sz w:val="22"/>
        </w:rPr>
      </w:pPr>
      <w:r>
        <w:rPr>
          <w:sz w:val="22"/>
        </w:rPr>
        <w:t>koeficient zastavění</w:t>
      </w:r>
      <w:r>
        <w:rPr>
          <w:spacing w:val="-2"/>
          <w:sz w:val="22"/>
        </w:rPr>
        <w:t> </w:t>
      </w:r>
      <w:r>
        <w:rPr>
          <w:sz w:val="22"/>
        </w:rPr>
        <w:t>pozemků,</w:t>
      </w:r>
    </w:p>
    <w:p>
      <w:pPr>
        <w:pStyle w:val="ListParagraph"/>
        <w:numPr>
          <w:ilvl w:val="0"/>
          <w:numId w:val="2"/>
        </w:numPr>
        <w:tabs>
          <w:tab w:pos="1024" w:val="left" w:leader="none"/>
          <w:tab w:pos="1025" w:val="left" w:leader="none"/>
        </w:tabs>
        <w:spacing w:line="240" w:lineRule="auto" w:before="17" w:after="0"/>
        <w:ind w:left="1024" w:right="0" w:hanging="853"/>
        <w:jc w:val="left"/>
        <w:rPr>
          <w:sz w:val="22"/>
        </w:rPr>
      </w:pPr>
      <w:r>
        <w:rPr>
          <w:sz w:val="22"/>
        </w:rPr>
        <w:t>výškovou hladinu, odstupy</w:t>
      </w:r>
      <w:r>
        <w:rPr>
          <w:spacing w:val="-1"/>
          <w:sz w:val="22"/>
        </w:rPr>
        <w:t> </w:t>
      </w:r>
      <w:r>
        <w:rPr>
          <w:sz w:val="22"/>
        </w:rPr>
        <w:t>objektů,</w:t>
      </w:r>
    </w:p>
    <w:p>
      <w:pPr>
        <w:pStyle w:val="ListParagraph"/>
        <w:numPr>
          <w:ilvl w:val="0"/>
          <w:numId w:val="2"/>
        </w:numPr>
        <w:tabs>
          <w:tab w:pos="1024" w:val="left" w:leader="none"/>
          <w:tab w:pos="1025" w:val="left" w:leader="none"/>
        </w:tabs>
        <w:spacing w:line="240" w:lineRule="auto" w:before="19" w:after="0"/>
        <w:ind w:left="1024" w:right="0" w:hanging="853"/>
        <w:jc w:val="left"/>
        <w:rPr>
          <w:sz w:val="22"/>
        </w:rPr>
      </w:pPr>
      <w:r>
        <w:rPr>
          <w:sz w:val="22"/>
        </w:rPr>
        <w:t>vymezení prostorů pro veřejná</w:t>
      </w:r>
      <w:r>
        <w:rPr>
          <w:spacing w:val="-6"/>
          <w:sz w:val="22"/>
        </w:rPr>
        <w:t> </w:t>
      </w:r>
      <w:r>
        <w:rPr>
          <w:sz w:val="22"/>
        </w:rPr>
        <w:t>prostranství,</w:t>
      </w:r>
    </w:p>
    <w:p>
      <w:pPr>
        <w:pStyle w:val="ListParagraph"/>
        <w:numPr>
          <w:ilvl w:val="0"/>
          <w:numId w:val="2"/>
        </w:numPr>
        <w:tabs>
          <w:tab w:pos="1024" w:val="left" w:leader="none"/>
          <w:tab w:pos="1025" w:val="left" w:leader="none"/>
        </w:tabs>
        <w:spacing w:line="240" w:lineRule="auto" w:before="20" w:after="0"/>
        <w:ind w:left="1024" w:right="0" w:hanging="853"/>
        <w:jc w:val="left"/>
        <w:rPr>
          <w:sz w:val="22"/>
        </w:rPr>
      </w:pPr>
      <w:r>
        <w:rPr>
          <w:sz w:val="22"/>
        </w:rPr>
        <w:t>vymezení prostorů pro občanské</w:t>
      </w:r>
      <w:r>
        <w:rPr>
          <w:spacing w:val="-6"/>
          <w:sz w:val="22"/>
        </w:rPr>
        <w:t> </w:t>
      </w:r>
      <w:r>
        <w:rPr>
          <w:sz w:val="22"/>
        </w:rPr>
        <w:t>vybavení,</w:t>
      </w:r>
    </w:p>
    <w:p>
      <w:pPr>
        <w:pStyle w:val="ListParagraph"/>
        <w:numPr>
          <w:ilvl w:val="0"/>
          <w:numId w:val="2"/>
        </w:numPr>
        <w:tabs>
          <w:tab w:pos="1024" w:val="left" w:leader="none"/>
          <w:tab w:pos="1025" w:val="left" w:leader="none"/>
        </w:tabs>
        <w:spacing w:line="240" w:lineRule="auto" w:before="20" w:after="0"/>
        <w:ind w:left="1024" w:right="0" w:hanging="853"/>
        <w:jc w:val="left"/>
        <w:rPr>
          <w:sz w:val="22"/>
        </w:rPr>
      </w:pPr>
      <w:r>
        <w:rPr>
          <w:sz w:val="22"/>
        </w:rPr>
        <w:t>způsob napojení na dopravní infrastrukturu a prostupnost</w:t>
      </w:r>
      <w:r>
        <w:rPr>
          <w:spacing w:val="-13"/>
          <w:sz w:val="22"/>
        </w:rPr>
        <w:t> </w:t>
      </w:r>
      <w:r>
        <w:rPr>
          <w:sz w:val="22"/>
        </w:rPr>
        <w:t>území,</w:t>
      </w:r>
    </w:p>
    <w:p>
      <w:pPr>
        <w:pStyle w:val="ListParagraph"/>
        <w:numPr>
          <w:ilvl w:val="0"/>
          <w:numId w:val="2"/>
        </w:numPr>
        <w:tabs>
          <w:tab w:pos="1024" w:val="left" w:leader="none"/>
          <w:tab w:pos="1025" w:val="left" w:leader="none"/>
        </w:tabs>
        <w:spacing w:line="240" w:lineRule="auto" w:before="17" w:after="0"/>
        <w:ind w:left="1024" w:right="0" w:hanging="853"/>
        <w:jc w:val="left"/>
        <w:rPr>
          <w:sz w:val="22"/>
        </w:rPr>
      </w:pPr>
      <w:r>
        <w:rPr>
          <w:sz w:val="22"/>
        </w:rPr>
        <w:t>způsob napojení na technickou</w:t>
      </w:r>
      <w:r>
        <w:rPr>
          <w:spacing w:val="-6"/>
          <w:sz w:val="22"/>
        </w:rPr>
        <w:t> </w:t>
      </w:r>
      <w:r>
        <w:rPr>
          <w:sz w:val="22"/>
        </w:rPr>
        <w:t>infrastrukturu,</w:t>
      </w:r>
    </w:p>
    <w:p>
      <w:pPr>
        <w:pStyle w:val="ListParagraph"/>
        <w:numPr>
          <w:ilvl w:val="0"/>
          <w:numId w:val="2"/>
        </w:numPr>
        <w:tabs>
          <w:tab w:pos="1024" w:val="left" w:leader="none"/>
          <w:tab w:pos="1025" w:val="left" w:leader="none"/>
        </w:tabs>
        <w:spacing w:line="240" w:lineRule="auto" w:before="20" w:after="0"/>
        <w:ind w:left="1024" w:right="0" w:hanging="853"/>
        <w:jc w:val="left"/>
        <w:rPr>
          <w:sz w:val="22"/>
        </w:rPr>
      </w:pPr>
      <w:r>
        <w:rPr>
          <w:sz w:val="22"/>
        </w:rPr>
        <w:t>vhodné využití částí území ve vztahu k záplavovému</w:t>
      </w:r>
      <w:r>
        <w:rPr>
          <w:spacing w:val="-12"/>
          <w:sz w:val="22"/>
        </w:rPr>
        <w:t> </w:t>
      </w:r>
      <w:r>
        <w:rPr>
          <w:sz w:val="22"/>
        </w:rPr>
        <w:t>území,</w:t>
      </w:r>
    </w:p>
    <w:p>
      <w:pPr>
        <w:pStyle w:val="ListParagraph"/>
        <w:numPr>
          <w:ilvl w:val="0"/>
          <w:numId w:val="2"/>
        </w:numPr>
        <w:tabs>
          <w:tab w:pos="1024" w:val="left" w:leader="none"/>
          <w:tab w:pos="1025" w:val="left" w:leader="none"/>
        </w:tabs>
        <w:spacing w:line="240" w:lineRule="auto" w:before="19" w:after="0"/>
        <w:ind w:left="1024" w:right="0" w:hanging="853"/>
        <w:jc w:val="left"/>
        <w:rPr>
          <w:sz w:val="22"/>
        </w:rPr>
      </w:pPr>
      <w:r>
        <w:rPr>
          <w:sz w:val="22"/>
        </w:rPr>
        <w:t>posouzení hluku minimálně v rozsahu požadavků</w:t>
      </w:r>
      <w:r>
        <w:rPr>
          <w:spacing w:val="-9"/>
          <w:sz w:val="22"/>
        </w:rPr>
        <w:t> </w:t>
      </w:r>
      <w:r>
        <w:rPr>
          <w:sz w:val="22"/>
        </w:rPr>
        <w:t>KHS.</w:t>
      </w:r>
    </w:p>
    <w:p>
      <w:pPr>
        <w:spacing w:after="0" w:line="240" w:lineRule="auto"/>
        <w:jc w:val="left"/>
        <w:rPr>
          <w:sz w:val="22"/>
        </w:rPr>
        <w:sectPr>
          <w:headerReference w:type="default" r:id="rId24"/>
          <w:footerReference w:type="default" r:id="rId25"/>
          <w:pgSz w:w="11900" w:h="16840"/>
          <w:pgMar w:header="557" w:footer="582" w:top="760" w:bottom="780" w:left="960" w:right="980"/>
          <w:pgNumType w:start="72"/>
        </w:sectPr>
      </w:pPr>
    </w:p>
    <w:p>
      <w:pPr>
        <w:pStyle w:val="BodyText"/>
        <w:spacing w:before="1"/>
        <w:ind w:left="0" w:firstLine="0"/>
        <w:jc w:val="left"/>
      </w:pPr>
    </w:p>
    <w:p>
      <w:pPr>
        <w:pStyle w:val="ListParagraph"/>
        <w:numPr>
          <w:ilvl w:val="0"/>
          <w:numId w:val="1"/>
        </w:numPr>
        <w:tabs>
          <w:tab w:pos="1024" w:val="left" w:leader="none"/>
          <w:tab w:pos="1025" w:val="left" w:leader="none"/>
        </w:tabs>
        <w:spacing w:line="240" w:lineRule="auto" w:before="101" w:after="0"/>
        <w:ind w:left="1024" w:right="143" w:hanging="853"/>
        <w:jc w:val="both"/>
        <w:rPr>
          <w:sz w:val="22"/>
        </w:rPr>
      </w:pPr>
      <w:r>
        <w:rPr>
          <w:b/>
          <w:sz w:val="22"/>
        </w:rPr>
        <w:t>Lhůta pro pořízení </w:t>
      </w:r>
      <w:r>
        <w:rPr>
          <w:sz w:val="22"/>
        </w:rPr>
        <w:t>územních studií, jejich schválení pořizovatelem a vložení dat o těchto studiích do evidence územně plánovací činnosti je </w:t>
      </w:r>
      <w:r>
        <w:rPr>
          <w:b/>
          <w:sz w:val="22"/>
        </w:rPr>
        <w:t>6 roků </w:t>
      </w:r>
      <w:r>
        <w:rPr>
          <w:sz w:val="22"/>
        </w:rPr>
        <w:t>od nabytí účinnosti opatření obecné povahy, kterým se vydává ÚP</w:t>
      </w:r>
      <w:r>
        <w:rPr>
          <w:spacing w:val="-1"/>
          <w:sz w:val="22"/>
        </w:rPr>
        <w:t> </w:t>
      </w:r>
      <w:r>
        <w:rPr>
          <w:sz w:val="22"/>
        </w:rPr>
        <w:t>Chrastava.</w:t>
      </w:r>
    </w:p>
    <w:p>
      <w:pPr>
        <w:pStyle w:val="BodyText"/>
        <w:spacing w:before="9"/>
        <w:ind w:left="0" w:firstLine="0"/>
        <w:jc w:val="left"/>
        <w:rPr>
          <w:sz w:val="17"/>
        </w:rPr>
      </w:pPr>
      <w:r>
        <w:rPr/>
        <w:pict>
          <v:group style="position:absolute;margin-left:55.199997pt;margin-top:12.214414pt;width:484.7pt;height:30.05pt;mso-position-horizontal-relative:page;mso-position-vertical-relative:paragraph;z-index:-15698944;mso-wrap-distance-left:0;mso-wrap-distance-right:0" coordorigin="1104,244" coordsize="9694,601">
            <v:shape style="position:absolute;left:1104;top:246;width:9694;height:598" coordorigin="1104,247" coordsize="9694,598" path="m10798,247l1104,247,1104,544,1104,844,10798,844,10798,544,10798,247xe" filled="true" fillcolor="#32cccc" stroked="false">
              <v:path arrowok="t"/>
              <v:fill type="solid"/>
            </v:shape>
            <v:shape style="position:absolute;left:1132;top:244;width:236;height:300" type="#_x0000_t202" filled="false" stroked="false">
              <v:textbox inset="0,0,0,0">
                <w:txbxContent>
                  <w:p>
                    <w:pPr>
                      <w:spacing w:line="298" w:lineRule="exact" w:before="0"/>
                      <w:ind w:left="0" w:right="0" w:firstLine="0"/>
                      <w:jc w:val="left"/>
                      <w:rPr>
                        <w:b/>
                        <w:sz w:val="26"/>
                      </w:rPr>
                    </w:pPr>
                    <w:r>
                      <w:rPr>
                        <w:b/>
                        <w:w w:val="99"/>
                        <w:sz w:val="26"/>
                      </w:rPr>
                      <w:t>M</w:t>
                    </w:r>
                  </w:p>
                </w:txbxContent>
              </v:textbox>
              <w10:wrap type="none"/>
            </v:shape>
            <v:shape style="position:absolute;left:1984;top:244;width:8804;height:597" type="#_x0000_t202" filled="false" stroked="false">
              <v:textbox inset="0,0,0,0">
                <w:txbxContent>
                  <w:p>
                    <w:pPr>
                      <w:spacing w:before="0"/>
                      <w:ind w:left="0" w:right="0" w:firstLine="0"/>
                      <w:jc w:val="left"/>
                      <w:rPr>
                        <w:b/>
                        <w:sz w:val="26"/>
                      </w:rPr>
                    </w:pPr>
                    <w:r>
                      <w:rPr>
                        <w:b/>
                        <w:sz w:val="26"/>
                      </w:rPr>
                      <w:t>VYMEZENÍ PLOCH A KORIDORŮ, VE KTERÝCH JE ROZHODOVÁNÍ O ZMĚNÁCH V ÚZEMÍ PODMÍNĚNO VYDÁNÍM REGULAČNÍHO PLÁNU</w:t>
                    </w:r>
                  </w:p>
                </w:txbxContent>
              </v:textbox>
              <w10:wrap type="none"/>
            </v:shape>
            <w10:wrap type="topAndBottom"/>
          </v:group>
        </w:pict>
      </w:r>
    </w:p>
    <w:p>
      <w:pPr>
        <w:pStyle w:val="ListParagraph"/>
        <w:numPr>
          <w:ilvl w:val="0"/>
          <w:numId w:val="1"/>
        </w:numPr>
        <w:tabs>
          <w:tab w:pos="1024" w:val="left" w:leader="none"/>
          <w:tab w:pos="1025" w:val="left" w:leader="none"/>
        </w:tabs>
        <w:spacing w:line="237" w:lineRule="auto" w:before="90" w:after="0"/>
        <w:ind w:left="1024" w:right="145" w:hanging="853"/>
        <w:jc w:val="left"/>
        <w:rPr>
          <w:sz w:val="22"/>
        </w:rPr>
      </w:pPr>
      <w:r>
        <w:rPr>
          <w:sz w:val="22"/>
        </w:rPr>
        <w:t>Nevymezují se žádné plochy a koridory, ve kterých je rozhodování o změnách v území podmíněno vydáním </w:t>
      </w:r>
      <w:r>
        <w:rPr>
          <w:b/>
          <w:sz w:val="22"/>
        </w:rPr>
        <w:t>regulačního</w:t>
      </w:r>
      <w:r>
        <w:rPr>
          <w:b/>
          <w:spacing w:val="-1"/>
          <w:sz w:val="22"/>
        </w:rPr>
        <w:t> </w:t>
      </w:r>
      <w:r>
        <w:rPr>
          <w:b/>
          <w:sz w:val="22"/>
        </w:rPr>
        <w:t>plánu</w:t>
      </w:r>
      <w:r>
        <w:rPr>
          <w:sz w:val="22"/>
        </w:rPr>
        <w:t>.</w:t>
      </w:r>
    </w:p>
    <w:p>
      <w:pPr>
        <w:pStyle w:val="BodyText"/>
        <w:spacing w:before="4"/>
        <w:ind w:left="0" w:firstLine="0"/>
        <w:jc w:val="left"/>
        <w:rPr>
          <w:sz w:val="19"/>
        </w:rPr>
      </w:pPr>
      <w:r>
        <w:rPr/>
        <w:pict>
          <v:shape style="position:absolute;margin-left:55.199997pt;margin-top:12.325126pt;width:484.95pt;height:14.9pt;mso-position-horizontal-relative:page;mso-position-vertical-relative:paragraph;z-index:-15698432;mso-wrap-distance-left:0;mso-wrap-distance-right:0" type="#_x0000_t202" filled="true" fillcolor="#32cccc" stroked="false">
            <v:textbox inset="0,0,0,0">
              <w:txbxContent>
                <w:p>
                  <w:pPr>
                    <w:tabs>
                      <w:tab w:pos="880" w:val="left" w:leader="none"/>
                    </w:tabs>
                    <w:spacing w:line="295" w:lineRule="exact" w:before="0"/>
                    <w:ind w:left="28" w:right="0" w:firstLine="0"/>
                    <w:jc w:val="left"/>
                    <w:rPr>
                      <w:b/>
                      <w:sz w:val="26"/>
                    </w:rPr>
                  </w:pPr>
                  <w:r>
                    <w:rPr>
                      <w:b/>
                      <w:sz w:val="26"/>
                    </w:rPr>
                    <w:t>N</w:t>
                    <w:tab/>
                    <w:t>STANOVENÍ POŘADÍ ZMĚN V ÚZEMÍ</w:t>
                  </w:r>
                  <w:r>
                    <w:rPr>
                      <w:b/>
                      <w:spacing w:val="-7"/>
                      <w:sz w:val="26"/>
                    </w:rPr>
                    <w:t> </w:t>
                  </w:r>
                  <w:r>
                    <w:rPr>
                      <w:b/>
                      <w:sz w:val="26"/>
                    </w:rPr>
                    <w:t>(ETAPIZACE)</w:t>
                  </w:r>
                </w:p>
              </w:txbxContent>
            </v:textbox>
            <v:fill type="solid"/>
            <w10:wrap type="topAndBottom"/>
          </v:shape>
        </w:pict>
      </w:r>
    </w:p>
    <w:p>
      <w:pPr>
        <w:pStyle w:val="ListParagraph"/>
        <w:numPr>
          <w:ilvl w:val="0"/>
          <w:numId w:val="1"/>
        </w:numPr>
        <w:tabs>
          <w:tab w:pos="1024" w:val="left" w:leader="none"/>
          <w:tab w:pos="1025" w:val="left" w:leader="none"/>
        </w:tabs>
        <w:spacing w:line="240" w:lineRule="auto" w:before="21" w:after="0"/>
        <w:ind w:left="1024" w:right="146" w:hanging="852"/>
        <w:jc w:val="both"/>
        <w:rPr>
          <w:sz w:val="22"/>
        </w:rPr>
      </w:pPr>
      <w:r>
        <w:rPr>
          <w:sz w:val="22"/>
        </w:rPr>
        <w:t>Pořadí změn v území (etapizace) se </w:t>
      </w:r>
      <w:r>
        <w:rPr>
          <w:b/>
          <w:sz w:val="22"/>
        </w:rPr>
        <w:t>nestanoví</w:t>
      </w:r>
      <w:r>
        <w:rPr>
          <w:sz w:val="22"/>
        </w:rPr>
        <w:t>, zástavba města se bude rozvíjet podle aktuálních zájmů, potřeb a zejména možností ve vazbě na oborové dokumenty a realizaci podmiňujících</w:t>
      </w:r>
      <w:r>
        <w:rPr>
          <w:spacing w:val="-1"/>
          <w:sz w:val="22"/>
        </w:rPr>
        <w:t> </w:t>
      </w:r>
      <w:r>
        <w:rPr>
          <w:sz w:val="22"/>
        </w:rPr>
        <w:t>investic.</w:t>
      </w:r>
    </w:p>
    <w:p>
      <w:pPr>
        <w:pStyle w:val="BodyText"/>
        <w:spacing w:before="7"/>
        <w:ind w:left="0" w:firstLine="0"/>
        <w:jc w:val="left"/>
        <w:rPr>
          <w:sz w:val="17"/>
        </w:rPr>
      </w:pPr>
      <w:r>
        <w:rPr/>
        <w:pict>
          <v:group style="position:absolute;margin-left:55.199997pt;margin-top:12.083286pt;width:484.7pt;height:30.05pt;mso-position-horizontal-relative:page;mso-position-vertical-relative:paragraph;z-index:-15696896;mso-wrap-distance-left:0;mso-wrap-distance-right:0" coordorigin="1104,242" coordsize="9694,601">
            <v:shape style="position:absolute;left:1104;top:244;width:9694;height:598" coordorigin="1104,244" coordsize="9694,598" path="m10798,244l1104,244,1104,544,1104,842,10798,842,10798,544,10798,244xe" filled="true" fillcolor="#32cccc" stroked="false">
              <v:path arrowok="t"/>
              <v:fill type="solid"/>
            </v:shape>
            <v:shape style="position:absolute;left:1132;top:241;width:222;height:300" type="#_x0000_t202" filled="false" stroked="false">
              <v:textbox inset="0,0,0,0">
                <w:txbxContent>
                  <w:p>
                    <w:pPr>
                      <w:spacing w:line="298" w:lineRule="exact" w:before="0"/>
                      <w:ind w:left="0" w:right="0" w:firstLine="0"/>
                      <w:jc w:val="left"/>
                      <w:rPr>
                        <w:b/>
                        <w:sz w:val="26"/>
                      </w:rPr>
                    </w:pPr>
                    <w:r>
                      <w:rPr>
                        <w:b/>
                        <w:w w:val="99"/>
                        <w:sz w:val="26"/>
                      </w:rPr>
                      <w:t>O</w:t>
                    </w:r>
                  </w:p>
                </w:txbxContent>
              </v:textbox>
              <w10:wrap type="none"/>
            </v:shape>
            <v:shape style="position:absolute;left:1984;top:241;width:8804;height:600" type="#_x0000_t202" filled="false" stroked="false">
              <v:textbox inset="0,0,0,0">
                <w:txbxContent>
                  <w:p>
                    <w:pPr>
                      <w:spacing w:before="0"/>
                      <w:ind w:left="0" w:right="0" w:firstLine="0"/>
                      <w:jc w:val="left"/>
                      <w:rPr>
                        <w:b/>
                        <w:sz w:val="26"/>
                      </w:rPr>
                    </w:pPr>
                    <w:r>
                      <w:rPr>
                        <w:b/>
                        <w:sz w:val="26"/>
                      </w:rPr>
                      <w:t>VYMEZENÍ ARCHITEKTONICKY NEBO URBANISTICKY VÝZNAMNÝCH STAVEB</w:t>
                    </w:r>
                  </w:p>
                </w:txbxContent>
              </v:textbox>
              <w10:wrap type="none"/>
            </v:shape>
            <w10:wrap type="topAndBottom"/>
          </v:group>
        </w:pict>
      </w:r>
    </w:p>
    <w:p>
      <w:pPr>
        <w:pStyle w:val="ListParagraph"/>
        <w:numPr>
          <w:ilvl w:val="0"/>
          <w:numId w:val="1"/>
        </w:numPr>
        <w:tabs>
          <w:tab w:pos="1024" w:val="left" w:leader="none"/>
          <w:tab w:pos="1025" w:val="left" w:leader="none"/>
        </w:tabs>
        <w:spacing w:line="240" w:lineRule="auto" w:before="88" w:after="0"/>
        <w:ind w:left="1024" w:right="146" w:hanging="853"/>
        <w:jc w:val="both"/>
        <w:rPr>
          <w:sz w:val="22"/>
        </w:rPr>
      </w:pPr>
      <w:r>
        <w:rPr>
          <w:sz w:val="22"/>
        </w:rPr>
        <w:t>Jako architektonicky významné stavby ve smyslu § 17 písm. d) a § 18 písm. a) zákona    č. 360/1992 Sb., se vymezují veškeré stavby hlavního využití v </w:t>
      </w:r>
      <w:r>
        <w:rPr>
          <w:b/>
          <w:sz w:val="22"/>
        </w:rPr>
        <w:t>plochách smíšených centrálních </w:t>
      </w:r>
      <w:r>
        <w:rPr>
          <w:sz w:val="22"/>
        </w:rPr>
        <w:t>(C) a </w:t>
      </w:r>
      <w:r>
        <w:rPr>
          <w:b/>
          <w:sz w:val="22"/>
        </w:rPr>
        <w:t>plochách občanského vybavení </w:t>
      </w:r>
      <w:r>
        <w:rPr>
          <w:sz w:val="22"/>
        </w:rPr>
        <w:t>(O), které formují veřejná prostranství.</w:t>
      </w:r>
    </w:p>
    <w:p>
      <w:pPr>
        <w:pStyle w:val="BodyText"/>
        <w:spacing w:before="6"/>
        <w:ind w:left="0" w:firstLine="0"/>
        <w:jc w:val="left"/>
        <w:rPr>
          <w:sz w:val="17"/>
        </w:rPr>
      </w:pPr>
      <w:r>
        <w:rPr/>
        <w:pict>
          <v:group style="position:absolute;margin-left:55.199997pt;margin-top:12.064323pt;width:484.7pt;height:30.05pt;mso-position-horizontal-relative:page;mso-position-vertical-relative:paragraph;z-index:-15695360;mso-wrap-distance-left:0;mso-wrap-distance-right:0" coordorigin="1104,241" coordsize="9694,601">
            <v:shape style="position:absolute;left:1104;top:243;width:9694;height:598" coordorigin="1104,244" coordsize="9694,598" path="m10798,244l1104,244,1104,541,1104,841,10798,841,10798,541,10798,244xe" filled="true" fillcolor="#32cccc" stroked="false">
              <v:path arrowok="t"/>
              <v:fill type="solid"/>
            </v:shape>
            <v:shape style="position:absolute;left:1132;top:241;width:93;height:300" type="#_x0000_t202" filled="false" stroked="false">
              <v:textbox inset="0,0,0,0">
                <w:txbxContent>
                  <w:p>
                    <w:pPr>
                      <w:spacing w:line="298" w:lineRule="exact" w:before="0"/>
                      <w:ind w:left="0" w:right="0" w:firstLine="0"/>
                      <w:jc w:val="left"/>
                      <w:rPr>
                        <w:b/>
                        <w:sz w:val="26"/>
                      </w:rPr>
                    </w:pPr>
                    <w:r>
                      <w:rPr>
                        <w:b/>
                        <w:w w:val="99"/>
                        <w:sz w:val="26"/>
                      </w:rPr>
                      <w:t>.</w:t>
                    </w:r>
                  </w:p>
                </w:txbxContent>
              </v:textbox>
              <w10:wrap type="none"/>
            </v:shape>
            <v:shape style="position:absolute;left:1984;top:241;width:8807;height:597" type="#_x0000_t202" filled="false" stroked="false">
              <v:textbox inset="0,0,0,0">
                <w:txbxContent>
                  <w:p>
                    <w:pPr>
                      <w:spacing w:before="0"/>
                      <w:ind w:left="0" w:right="0" w:firstLine="0"/>
                      <w:jc w:val="left"/>
                      <w:rPr>
                        <w:b/>
                        <w:sz w:val="26"/>
                      </w:rPr>
                    </w:pPr>
                    <w:r>
                      <w:rPr>
                        <w:b/>
                        <w:sz w:val="26"/>
                      </w:rPr>
                      <w:t>ÚDAJE O POČTU LISTŮ TEXTOVÉ ČÁSTI ÚP CHRASTAVA A POČTU VÝKRESŮ GRAFICKÉ ČÁSTI</w:t>
                    </w:r>
                  </w:p>
                </w:txbxContent>
              </v:textbox>
              <w10:wrap type="none"/>
            </v:shape>
            <w10:wrap type="topAndBottom"/>
          </v:group>
        </w:pict>
      </w:r>
    </w:p>
    <w:p>
      <w:pPr>
        <w:pStyle w:val="ListParagraph"/>
        <w:numPr>
          <w:ilvl w:val="0"/>
          <w:numId w:val="1"/>
        </w:numPr>
        <w:tabs>
          <w:tab w:pos="1024" w:val="left" w:leader="none"/>
          <w:tab w:pos="1025" w:val="left" w:leader="none"/>
        </w:tabs>
        <w:spacing w:line="240" w:lineRule="auto" w:before="88" w:after="0"/>
        <w:ind w:left="1024" w:right="0" w:hanging="853"/>
        <w:jc w:val="left"/>
        <w:rPr>
          <w:sz w:val="22"/>
        </w:rPr>
      </w:pPr>
      <w:r>
        <w:rPr>
          <w:sz w:val="22"/>
        </w:rPr>
        <w:t>Textová část Územního plánu Chrastava obsahuje 75 stran formátu</w:t>
      </w:r>
      <w:r>
        <w:rPr>
          <w:spacing w:val="-13"/>
          <w:sz w:val="22"/>
        </w:rPr>
        <w:t> </w:t>
      </w:r>
      <w:r>
        <w:rPr>
          <w:sz w:val="22"/>
        </w:rPr>
        <w:t>A4.</w:t>
      </w:r>
    </w:p>
    <w:p>
      <w:pPr>
        <w:pStyle w:val="ListParagraph"/>
        <w:numPr>
          <w:ilvl w:val="0"/>
          <w:numId w:val="1"/>
        </w:numPr>
        <w:tabs>
          <w:tab w:pos="1024" w:val="left" w:leader="none"/>
          <w:tab w:pos="1025" w:val="left" w:leader="none"/>
        </w:tabs>
        <w:spacing w:line="240" w:lineRule="auto" w:before="119" w:after="0"/>
        <w:ind w:left="1024" w:right="146" w:hanging="853"/>
        <w:jc w:val="left"/>
        <w:rPr>
          <w:sz w:val="22"/>
        </w:rPr>
      </w:pPr>
      <w:r>
        <w:rPr>
          <w:sz w:val="22"/>
        </w:rPr>
        <w:t>Grafická část Územního plánu Chrastava obsahuje 4 výkresy návrhu formátu 2xA0 a 3 výkresy odůvodnění formátu 2 x 2xA0 a 1 x</w:t>
      </w:r>
      <w:r>
        <w:rPr>
          <w:spacing w:val="-14"/>
          <w:sz w:val="22"/>
        </w:rPr>
        <w:t> </w:t>
      </w:r>
      <w:r>
        <w:rPr>
          <w:sz w:val="22"/>
        </w:rPr>
        <w:t>A2.</w:t>
      </w: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tabs>
          <w:tab w:pos="7543" w:val="left" w:leader="none"/>
        </w:tabs>
        <w:spacing w:before="183"/>
        <w:ind w:left="172" w:firstLine="0"/>
        <w:jc w:val="left"/>
      </w:pPr>
      <w:r>
        <w:rPr/>
        <w:t>V</w:t>
      </w:r>
      <w:r>
        <w:rPr>
          <w:spacing w:val="-2"/>
        </w:rPr>
        <w:t> </w:t>
      </w:r>
      <w:r>
        <w:rPr/>
        <w:t>Liberci, 04/2021</w:t>
        <w:tab/>
        <w:t>Ing. arch. Jiří</w:t>
      </w:r>
      <w:r>
        <w:rPr>
          <w:spacing w:val="-6"/>
        </w:rPr>
        <w:t> </w:t>
      </w:r>
      <w:r>
        <w:rPr/>
        <w:t>Plašil</w:t>
      </w:r>
    </w:p>
    <w:sectPr>
      <w:pgSz w:w="11900" w:h="16840"/>
      <w:pgMar w:header="557" w:footer="582" w:top="760" w:bottom="780" w:left="96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rect style="position:absolute;margin-left:55.199997pt;margin-top:803.159851pt;width:484.919989pt;height:10.32pt;mso-position-horizontal-relative:page;mso-position-vertical-relative:page;z-index:-19653120" filled="true" fillcolor="#dadada" stroked="false">
          <v:fill type="solid"/>
          <w10:wrap type="none"/>
        </v:rect>
      </w:pict>
    </w:r>
    <w:r>
      <w:rPr/>
      <w:pict>
        <v:shape style="position:absolute;margin-left:530.519775pt;margin-top:801.895813pt;width:11.05pt;height:12.4pt;mso-position-horizontal-relative:page;mso-position-vertical-relative:page;z-index:-19652608" type="#_x0000_t202" filled="false" stroked="false">
          <v:textbox inset="0,0,0,0">
            <w:txbxContent>
              <w:p>
                <w:pPr>
                  <w:spacing w:before="19"/>
                  <w:ind w:left="60" w:right="0" w:firstLine="0"/>
                  <w:jc w:val="left"/>
                  <w:rPr>
                    <w:b/>
                    <w:sz w:val="18"/>
                  </w:rPr>
                </w:pPr>
                <w:r>
                  <w:rPr/>
                  <w:fldChar w:fldCharType="begin"/>
                </w:r>
                <w:r>
                  <w:rPr>
                    <w:b/>
                    <w:w w:val="99"/>
                    <w:sz w:val="18"/>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rect style="position:absolute;margin-left:55.199997pt;margin-top:803.159851pt;width:484.919989pt;height:10.32pt;mso-position-horizontal-relative:page;mso-position-vertical-relative:page;z-index:-19650560" filled="true" fillcolor="#dadada" stroked="false">
          <v:fill type="solid"/>
          <w10:wrap type="none"/>
        </v:rect>
      </w:pict>
    </w:r>
    <w:r>
      <w:rPr/>
      <w:pict>
        <v:shape style="position:absolute;margin-left:530.519775pt;margin-top:801.895813pt;width:11.05pt;height:12.4pt;mso-position-horizontal-relative:page;mso-position-vertical-relative:page;z-index:-19650048" type="#_x0000_t202" filled="false" stroked="false">
          <v:textbox inset="0,0,0,0">
            <w:txbxContent>
              <w:p>
                <w:pPr>
                  <w:spacing w:before="19"/>
                  <w:ind w:left="60" w:right="0" w:firstLine="0"/>
                  <w:jc w:val="left"/>
                  <w:rPr>
                    <w:b/>
                    <w:sz w:val="18"/>
                  </w:rPr>
                </w:pPr>
                <w:r>
                  <w:rPr/>
                  <w:fldChar w:fldCharType="begin"/>
                </w:r>
                <w:r>
                  <w:rPr>
                    <w:b/>
                    <w:w w:val="99"/>
                    <w:sz w:val="18"/>
                  </w:rPr>
                  <w:instrText> PAGE </w:instrText>
                </w:r>
                <w:r>
                  <w:rPr/>
                  <w:fldChar w:fldCharType="separate"/>
                </w:r>
                <w:r>
                  <w:rPr/>
                  <w:t>3</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rect style="position:absolute;margin-left:55.199997pt;margin-top:803.159851pt;width:484.919989pt;height:10.32pt;mso-position-horizontal-relative:page;mso-position-vertical-relative:page;z-index:-19649024" filled="true" fillcolor="#dadada" stroked="false">
          <v:fill type="solid"/>
          <w10:wrap type="none"/>
        </v:rect>
      </w:pict>
    </w:r>
    <w:r>
      <w:rPr/>
      <w:pict>
        <v:shape style="position:absolute;margin-left:522.359802pt;margin-top:801.895813pt;width:16.05pt;height:12.4pt;mso-position-horizontal-relative:page;mso-position-vertical-relative:page;z-index:-19648512" type="#_x0000_t202" filled="false" stroked="false">
          <v:textbox inset="0,0,0,0">
            <w:txbxContent>
              <w:p>
                <w:pPr>
                  <w:spacing w:before="19"/>
                  <w:ind w:left="60" w:right="0" w:firstLine="0"/>
                  <w:jc w:val="left"/>
                  <w:rPr>
                    <w:b/>
                    <w:sz w:val="18"/>
                  </w:rPr>
                </w:pPr>
                <w:r>
                  <w:rPr/>
                  <w:fldChar w:fldCharType="begin"/>
                </w:r>
                <w:r>
                  <w:rPr>
                    <w:b/>
                    <w:sz w:val="18"/>
                  </w:rPr>
                  <w:instrText> PAGE </w:instrText>
                </w:r>
                <w:r>
                  <w:rPr/>
                  <w:fldChar w:fldCharType="separate"/>
                </w:r>
                <w:r>
                  <w:rPr/>
                  <w:t>10</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rect style="position:absolute;margin-left:55.199997pt;margin-top:803.159851pt;width:485.039989pt;height:10.32pt;mso-position-horizontal-relative:page;mso-position-vertical-relative:page;z-index:-19647488" filled="true" fillcolor="#dadada" stroked="false">
          <v:fill type="solid"/>
          <w10:wrap type="none"/>
        </v:rect>
      </w:pict>
    </w:r>
    <w:r>
      <w:rPr/>
      <w:pict>
        <v:shape style="position:absolute;margin-left:522.359802pt;margin-top:801.895813pt;width:16.05pt;height:12.4pt;mso-position-horizontal-relative:page;mso-position-vertical-relative:page;z-index:-19646976" type="#_x0000_t202" filled="false" stroked="false">
          <v:textbox inset="0,0,0,0">
            <w:txbxContent>
              <w:p>
                <w:pPr>
                  <w:spacing w:before="19"/>
                  <w:ind w:left="60" w:right="0" w:firstLine="0"/>
                  <w:jc w:val="left"/>
                  <w:rPr>
                    <w:b/>
                    <w:sz w:val="18"/>
                  </w:rPr>
                </w:pPr>
                <w:r>
                  <w:rPr/>
                  <w:fldChar w:fldCharType="begin"/>
                </w:r>
                <w:r>
                  <w:rPr>
                    <w:b/>
                    <w:sz w:val="18"/>
                  </w:rPr>
                  <w:instrText> PAGE </w:instrText>
                </w:r>
                <w:r>
                  <w:rPr/>
                  <w:fldChar w:fldCharType="separate"/>
                </w:r>
                <w:r>
                  <w:rPr/>
                  <w:t>12</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rect style="position:absolute;margin-left:55.199997pt;margin-top:803.159851pt;width:484.919989pt;height:10.32pt;mso-position-horizontal-relative:page;mso-position-vertical-relative:page;z-index:-19644928" filled="true" fillcolor="#dadada" stroked="false">
          <v:fill type="solid"/>
          <w10:wrap type="none"/>
        </v:rect>
      </w:pict>
    </w:r>
    <w:r>
      <w:rPr/>
      <w:pict>
        <v:shape style="position:absolute;margin-left:522.359802pt;margin-top:801.895813pt;width:16.05pt;height:12.4pt;mso-position-horizontal-relative:page;mso-position-vertical-relative:page;z-index:-19644416" type="#_x0000_t202" filled="false" stroked="false">
          <v:textbox inset="0,0,0,0">
            <w:txbxContent>
              <w:p>
                <w:pPr>
                  <w:spacing w:before="19"/>
                  <w:ind w:left="60" w:right="0" w:firstLine="0"/>
                  <w:jc w:val="left"/>
                  <w:rPr>
                    <w:b/>
                    <w:sz w:val="18"/>
                  </w:rPr>
                </w:pPr>
                <w:r>
                  <w:rPr/>
                  <w:fldChar w:fldCharType="begin"/>
                </w:r>
                <w:r>
                  <w:rPr>
                    <w:b/>
                    <w:sz w:val="18"/>
                  </w:rPr>
                  <w:instrText> PAGE </w:instrText>
                </w:r>
                <w:r>
                  <w:rPr/>
                  <w:fldChar w:fldCharType="separate"/>
                </w:r>
                <w:r>
                  <w:rPr/>
                  <w:t>20</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rect style="position:absolute;margin-left:55.199997pt;margin-top:803.159851pt;width:484.919989pt;height:10.32pt;mso-position-horizontal-relative:page;mso-position-vertical-relative:page;z-index:-19642368" filled="true" fillcolor="#dadada" stroked="false">
          <v:fill type="solid"/>
          <w10:wrap type="none"/>
        </v:rect>
      </w:pict>
    </w:r>
    <w:r>
      <w:rPr/>
      <w:pict>
        <v:shape style="position:absolute;margin-left:522.359802pt;margin-top:801.895813pt;width:16.05pt;height:12.4pt;mso-position-horizontal-relative:page;mso-position-vertical-relative:page;z-index:-19641856" type="#_x0000_t202" filled="false" stroked="false">
          <v:textbox inset="0,0,0,0">
            <w:txbxContent>
              <w:p>
                <w:pPr>
                  <w:spacing w:before="19"/>
                  <w:ind w:left="60" w:right="0" w:firstLine="0"/>
                  <w:jc w:val="left"/>
                  <w:rPr>
                    <w:b/>
                    <w:sz w:val="18"/>
                  </w:rPr>
                </w:pPr>
                <w:r>
                  <w:rPr/>
                  <w:fldChar w:fldCharType="begin"/>
                </w:r>
                <w:r>
                  <w:rPr>
                    <w:b/>
                    <w:sz w:val="18"/>
                  </w:rPr>
                  <w:instrText> PAGE </w:instrText>
                </w:r>
                <w:r>
                  <w:rPr/>
                  <w:fldChar w:fldCharType="separate"/>
                </w:r>
                <w:r>
                  <w:rPr/>
                  <w:t>32</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rect style="position:absolute;margin-left:55.199997pt;margin-top:803.159851pt;width:484.919989pt;height:10.32pt;mso-position-horizontal-relative:page;mso-position-vertical-relative:page;z-index:-19640832" filled="true" fillcolor="#dadada" stroked="false">
          <v:fill type="solid"/>
          <w10:wrap type="none"/>
        </v:rect>
      </w:pict>
    </w:r>
    <w:r>
      <w:rPr/>
      <w:pict>
        <v:shape style="position:absolute;margin-left:522.359802pt;margin-top:801.895813pt;width:16.05pt;height:12.4pt;mso-position-horizontal-relative:page;mso-position-vertical-relative:page;z-index:-19640320" type="#_x0000_t202" filled="false" stroked="false">
          <v:textbox inset="0,0,0,0">
            <w:txbxContent>
              <w:p>
                <w:pPr>
                  <w:spacing w:before="19"/>
                  <w:ind w:left="60" w:right="0" w:firstLine="0"/>
                  <w:jc w:val="left"/>
                  <w:rPr>
                    <w:b/>
                    <w:sz w:val="18"/>
                  </w:rPr>
                </w:pPr>
                <w:r>
                  <w:rPr/>
                  <w:fldChar w:fldCharType="begin"/>
                </w:r>
                <w:r>
                  <w:rPr>
                    <w:b/>
                    <w:sz w:val="18"/>
                  </w:rPr>
                  <w:instrText> PAGE </w:instrText>
                </w:r>
                <w:r>
                  <w:rPr/>
                  <w:fldChar w:fldCharType="separate"/>
                </w:r>
                <w:r>
                  <w:rPr/>
                  <w:t>40</w:t>
                </w:r>
                <w:r>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rect style="position:absolute;margin-left:55.199997pt;margin-top:803.159851pt;width:484.919989pt;height:10.32pt;mso-position-horizontal-relative:page;mso-position-vertical-relative:page;z-index:-19638272" filled="true" fillcolor="#dadada" stroked="false">
          <v:fill type="solid"/>
          <w10:wrap type="none"/>
        </v:rect>
      </w:pict>
    </w:r>
    <w:r>
      <w:rPr/>
      <w:pict>
        <v:shape style="position:absolute;margin-left:522.359802pt;margin-top:801.895813pt;width:16.05pt;height:12.4pt;mso-position-horizontal-relative:page;mso-position-vertical-relative:page;z-index:-19637760" type="#_x0000_t202" filled="false" stroked="false">
          <v:textbox inset="0,0,0,0">
            <w:txbxContent>
              <w:p>
                <w:pPr>
                  <w:spacing w:before="19"/>
                  <w:ind w:left="60" w:right="0" w:firstLine="0"/>
                  <w:jc w:val="left"/>
                  <w:rPr>
                    <w:b/>
                    <w:sz w:val="18"/>
                  </w:rPr>
                </w:pPr>
                <w:r>
                  <w:rPr/>
                  <w:fldChar w:fldCharType="begin"/>
                </w:r>
                <w:r>
                  <w:rPr>
                    <w:b/>
                    <w:sz w:val="18"/>
                  </w:rPr>
                  <w:instrText> PAGE </w:instrText>
                </w:r>
                <w:r>
                  <w:rPr/>
                  <w:fldChar w:fldCharType="separate"/>
                </w:r>
                <w:r>
                  <w:rPr/>
                  <w:t>70</w:t>
                </w:r>
                <w:r>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rect style="position:absolute;margin-left:55.199997pt;margin-top:803.159851pt;width:484.919989pt;height:10.32pt;mso-position-horizontal-relative:page;mso-position-vertical-relative:page;z-index:-19635712" filled="true" fillcolor="#dadada" stroked="false">
          <v:fill type="solid"/>
          <w10:wrap type="none"/>
        </v:rect>
      </w:pict>
    </w:r>
    <w:r>
      <w:rPr/>
      <w:pict>
        <v:shape style="position:absolute;margin-left:522.359802pt;margin-top:801.895813pt;width:16.05pt;height:12.4pt;mso-position-horizontal-relative:page;mso-position-vertical-relative:page;z-index:-19635200" type="#_x0000_t202" filled="false" stroked="false">
          <v:textbox inset="0,0,0,0">
            <w:txbxContent>
              <w:p>
                <w:pPr>
                  <w:spacing w:before="19"/>
                  <w:ind w:left="60" w:right="0" w:firstLine="0"/>
                  <w:jc w:val="left"/>
                  <w:rPr>
                    <w:b/>
                    <w:sz w:val="18"/>
                  </w:rPr>
                </w:pPr>
                <w:r>
                  <w:rPr/>
                  <w:fldChar w:fldCharType="begin"/>
                </w:r>
                <w:r>
                  <w:rPr>
                    <w:b/>
                    <w:sz w:val="18"/>
                  </w:rPr>
                  <w:instrText> PAGE </w:instrText>
                </w:r>
                <w:r>
                  <w:rPr/>
                  <w:fldChar w:fldCharType="separate"/>
                </w:r>
                <w:r>
                  <w:rPr/>
                  <w:t>72</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rect style="position:absolute;margin-left:56.639999pt;margin-top:27.839619pt;width:482.159989pt;height:10.8pt;mso-position-horizontal-relative:page;mso-position-vertical-relative:page;z-index:-19654656" filled="true" fillcolor="#dadada" stroked="false">
          <v:fill type="solid"/>
          <w10:wrap type="none"/>
        </v:rect>
      </w:pict>
    </w:r>
    <w:r>
      <w:rPr/>
      <w:pict>
        <v:shapetype id="_x0000_t202" o:spt="202" coordsize="21600,21600" path="m,l,21600r21600,l21600,xe">
          <v:stroke joinstyle="miter"/>
          <v:path gradientshapeok="t" o:connecttype="rect"/>
        </v:shapetype>
        <v:shape style="position:absolute;margin-left:55.639977pt;margin-top:27.056326pt;width:204.9pt;height:12.4pt;mso-position-horizontal-relative:page;mso-position-vertical-relative:page;z-index:-19654144" type="#_x0000_t202" filled="false" stroked="false">
          <v:textbox inset="0,0,0,0">
            <w:txbxContent>
              <w:p>
                <w:pPr>
                  <w:spacing w:before="19"/>
                  <w:ind w:left="20" w:right="0" w:firstLine="0"/>
                  <w:jc w:val="left"/>
                  <w:rPr>
                    <w:b/>
                    <w:sz w:val="18"/>
                  </w:rPr>
                </w:pPr>
                <w:r>
                  <w:rPr>
                    <w:b/>
                    <w:sz w:val="18"/>
                  </w:rPr>
                  <w:t>ÚP Chrastava – Úplné znění po vydání 3.Změny</w:t>
                </w:r>
              </w:p>
            </w:txbxContent>
          </v:textbox>
          <w10:wrap type="none"/>
        </v:shape>
      </w:pict>
    </w:r>
    <w:r>
      <w:rPr/>
      <w:pict>
        <v:shape style="position:absolute;margin-left:459.319763pt;margin-top:27.056326pt;width:80.6pt;height:12.4pt;mso-position-horizontal-relative:page;mso-position-vertical-relative:page;z-index:-19653632" type="#_x0000_t202" filled="false" stroked="false">
          <v:textbox inset="0,0,0,0">
            <w:txbxContent>
              <w:p>
                <w:pPr>
                  <w:spacing w:before="19"/>
                  <w:ind w:left="20" w:right="0" w:firstLine="0"/>
                  <w:jc w:val="left"/>
                  <w:rPr>
                    <w:b/>
                    <w:sz w:val="18"/>
                  </w:rPr>
                </w:pPr>
                <w:r>
                  <w:rPr>
                    <w:b/>
                    <w:sz w:val="18"/>
                  </w:rPr>
                  <w:t>Identifikační údaje</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group style="position:absolute;margin-left:55.199997pt;margin-top:27.839619pt;width:484.7pt;height:10.8pt;mso-position-horizontal-relative:page;mso-position-vertical-relative:page;z-index:-19652096" coordorigin="1104,557" coordsize="9694,216">
          <v:shape style="position:absolute;left:1103;top:566;width:9694;height:207" coordorigin="1104,566" coordsize="9694,207" path="m1133,566l1104,566,1104,773,1133,773,1133,566xm10798,566l8254,566,8254,773,10798,773,10798,566xe" filled="true" fillcolor="#b2b2b2" stroked="false">
            <v:path arrowok="t"/>
            <v:fill type="solid"/>
          </v:shape>
          <v:rect style="position:absolute;left:1132;top:556;width:7121;height:216" filled="true" fillcolor="#dadada" stroked="false">
            <v:fill type="solid"/>
          </v:rect>
          <w10:wrap type="none"/>
        </v:group>
      </w:pict>
    </w:r>
    <w:r>
      <w:rPr/>
      <w:pict>
        <v:shape style="position:absolute;margin-left:55.639977pt;margin-top:27.056326pt;width:204.9pt;height:12.4pt;mso-position-horizontal-relative:page;mso-position-vertical-relative:page;z-index:-19651584" type="#_x0000_t202" filled="false" stroked="false">
          <v:textbox inset="0,0,0,0">
            <w:txbxContent>
              <w:p>
                <w:pPr>
                  <w:spacing w:before="19"/>
                  <w:ind w:left="20" w:right="0" w:firstLine="0"/>
                  <w:jc w:val="left"/>
                  <w:rPr>
                    <w:b/>
                    <w:sz w:val="18"/>
                  </w:rPr>
                </w:pPr>
                <w:r>
                  <w:rPr>
                    <w:b/>
                    <w:sz w:val="18"/>
                  </w:rPr>
                  <w:t>ÚP Chrastava – Úplné znění po vydání 3.Změny</w:t>
                </w:r>
              </w:p>
            </w:txbxContent>
          </v:textbox>
          <w10:wrap type="none"/>
        </v:shape>
      </w:pict>
    </w:r>
    <w:r>
      <w:rPr/>
      <w:pict>
        <v:shape style="position:absolute;margin-left:411.680084pt;margin-top:27.056326pt;width:128.1pt;height:12.4pt;mso-position-horizontal-relative:page;mso-position-vertical-relative:page;z-index:-19651072" type="#_x0000_t202" filled="false" stroked="false">
          <v:textbox inset="0,0,0,0">
            <w:txbxContent>
              <w:p>
                <w:pPr>
                  <w:spacing w:before="19"/>
                  <w:ind w:left="20" w:right="0" w:firstLine="0"/>
                  <w:jc w:val="left"/>
                  <w:rPr>
                    <w:b/>
                    <w:sz w:val="18"/>
                  </w:rPr>
                </w:pPr>
                <w:r>
                  <w:rPr>
                    <w:b/>
                    <w:sz w:val="18"/>
                  </w:rPr>
                  <w:t>Vymezení zastavěného území</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shape style="position:absolute;margin-left:55.639977pt;margin-top:27.056326pt;width:484.3pt;height:12.4pt;mso-position-horizontal-relative:page;mso-position-vertical-relative:page;z-index:-19649536" type="#_x0000_t202" filled="false" stroked="false">
          <v:textbox inset="0,0,0,0">
            <w:txbxContent>
              <w:p>
                <w:pPr>
                  <w:tabs>
                    <w:tab w:pos="4279" w:val="left" w:leader="none"/>
                  </w:tabs>
                  <w:spacing w:before="19"/>
                  <w:ind w:left="20" w:right="0" w:firstLine="0"/>
                  <w:jc w:val="left"/>
                  <w:rPr>
                    <w:b/>
                    <w:sz w:val="18"/>
                  </w:rPr>
                </w:pPr>
                <w:r>
                  <w:rPr>
                    <w:b/>
                    <w:sz w:val="18"/>
                    <w:shd w:fill="DADADA" w:color="auto" w:val="clear"/>
                  </w:rPr>
                  <w:t>ÚP Chrastava – Úplné znění po</w:t>
                </w:r>
                <w:r>
                  <w:rPr>
                    <w:b/>
                    <w:spacing w:val="-10"/>
                    <w:sz w:val="18"/>
                    <w:shd w:fill="DADADA" w:color="auto" w:val="clear"/>
                  </w:rPr>
                  <w:t> </w:t>
                </w:r>
                <w:r>
                  <w:rPr>
                    <w:b/>
                    <w:sz w:val="18"/>
                    <w:shd w:fill="DADADA" w:color="auto" w:val="clear"/>
                  </w:rPr>
                  <w:t>vydání</w:t>
                </w:r>
                <w:r>
                  <w:rPr>
                    <w:b/>
                    <w:spacing w:val="-1"/>
                    <w:sz w:val="18"/>
                    <w:shd w:fill="DADADA" w:color="auto" w:val="clear"/>
                  </w:rPr>
                  <w:t> </w:t>
                </w:r>
                <w:r>
                  <w:rPr>
                    <w:b/>
                    <w:sz w:val="18"/>
                    <w:shd w:fill="DADADA" w:color="auto" w:val="clear"/>
                  </w:rPr>
                  <w:t>3.Změny</w:t>
                  <w:tab/>
                  <w:t>Koncepce rozvoje území města, ochrany a rozvoje jeho</w:t>
                </w:r>
                <w:r>
                  <w:rPr>
                    <w:b/>
                    <w:spacing w:val="-19"/>
                    <w:sz w:val="18"/>
                    <w:shd w:fill="DADADA" w:color="auto" w:val="clear"/>
                  </w:rPr>
                  <w:t> </w:t>
                </w:r>
                <w:r>
                  <w:rPr>
                    <w:b/>
                    <w:sz w:val="18"/>
                    <w:shd w:fill="DADADA" w:color="auto" w:val="clear"/>
                  </w:rPr>
                  <w:t>hodnot</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shape style="position:absolute;margin-left:55.639977pt;margin-top:27.056326pt;width:484.25pt;height:12.4pt;mso-position-horizontal-relative:page;mso-position-vertical-relative:page;z-index:-19648000" type="#_x0000_t202" filled="false" stroked="false">
          <v:textbox inset="0,0,0,0">
            <w:txbxContent>
              <w:p>
                <w:pPr>
                  <w:tabs>
                    <w:tab w:pos="4419" w:val="left" w:leader="none"/>
                  </w:tabs>
                  <w:spacing w:before="19"/>
                  <w:ind w:left="20" w:right="0" w:firstLine="0"/>
                  <w:jc w:val="left"/>
                  <w:rPr>
                    <w:b/>
                    <w:sz w:val="18"/>
                  </w:rPr>
                </w:pPr>
                <w:r>
                  <w:rPr>
                    <w:b/>
                    <w:sz w:val="18"/>
                    <w:shd w:fill="DADADA" w:color="auto" w:val="clear"/>
                  </w:rPr>
                  <w:t>ÚP Chrastava – Úplné znění po</w:t>
                </w:r>
                <w:r>
                  <w:rPr>
                    <w:b/>
                    <w:spacing w:val="-10"/>
                    <w:sz w:val="18"/>
                    <w:shd w:fill="DADADA" w:color="auto" w:val="clear"/>
                  </w:rPr>
                  <w:t> </w:t>
                </w:r>
                <w:r>
                  <w:rPr>
                    <w:b/>
                    <w:sz w:val="18"/>
                    <w:shd w:fill="DADADA" w:color="auto" w:val="clear"/>
                  </w:rPr>
                  <w:t>vydání</w:t>
                </w:r>
                <w:r>
                  <w:rPr>
                    <w:b/>
                    <w:spacing w:val="-1"/>
                    <w:sz w:val="18"/>
                    <w:shd w:fill="DADADA" w:color="auto" w:val="clear"/>
                  </w:rPr>
                  <w:t> </w:t>
                </w:r>
                <w:r>
                  <w:rPr>
                    <w:b/>
                    <w:sz w:val="18"/>
                    <w:shd w:fill="DADADA" w:color="auto" w:val="clear"/>
                  </w:rPr>
                  <w:t>3.Změny</w:t>
                  <w:tab/>
                  <w:t>Urbanistická koncepce města včetně urbanistické</w:t>
                </w:r>
                <w:r>
                  <w:rPr>
                    <w:b/>
                    <w:spacing w:val="-19"/>
                    <w:sz w:val="18"/>
                    <w:shd w:fill="DADADA" w:color="auto" w:val="clear"/>
                  </w:rPr>
                  <w:t> </w:t>
                </w:r>
                <w:r>
                  <w:rPr>
                    <w:b/>
                    <w:sz w:val="18"/>
                    <w:shd w:fill="DADADA" w:color="auto" w:val="clear"/>
                  </w:rPr>
                  <w:t>kompozice</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rect style="position:absolute;margin-left:56.639999pt;margin-top:27.839619pt;width:482.159989pt;height:10.8pt;mso-position-horizontal-relative:page;mso-position-vertical-relative:page;z-index:-19646464" filled="true" fillcolor="#dadada" stroked="false">
          <v:fill type="solid"/>
          <w10:wrap type="none"/>
        </v:rect>
      </w:pict>
    </w:r>
    <w:r>
      <w:rPr/>
      <w:pict>
        <v:shape style="position:absolute;margin-left:55.639977pt;margin-top:27.056326pt;width:204.9pt;height:12.4pt;mso-position-horizontal-relative:page;mso-position-vertical-relative:page;z-index:-19645952" type="#_x0000_t202" filled="false" stroked="false">
          <v:textbox inset="0,0,0,0">
            <w:txbxContent>
              <w:p>
                <w:pPr>
                  <w:spacing w:before="19"/>
                  <w:ind w:left="20" w:right="0" w:firstLine="0"/>
                  <w:jc w:val="left"/>
                  <w:rPr>
                    <w:b/>
                    <w:sz w:val="18"/>
                  </w:rPr>
                </w:pPr>
                <w:r>
                  <w:rPr>
                    <w:b/>
                    <w:sz w:val="18"/>
                  </w:rPr>
                  <w:t>ÚP Chrastava – Úplné znění po vydání 3.Změny</w:t>
                </w:r>
              </w:p>
            </w:txbxContent>
          </v:textbox>
          <w10:wrap type="none"/>
        </v:shape>
      </w:pict>
    </w:r>
    <w:r>
      <w:rPr/>
      <w:pict>
        <v:shape style="position:absolute;margin-left:399.679901pt;margin-top:27.056326pt;width:140.35pt;height:12.4pt;mso-position-horizontal-relative:page;mso-position-vertical-relative:page;z-index:-19645440" type="#_x0000_t202" filled="false" stroked="false">
          <v:textbox inset="0,0,0,0">
            <w:txbxContent>
              <w:p>
                <w:pPr>
                  <w:spacing w:before="19"/>
                  <w:ind w:left="20" w:right="0" w:firstLine="0"/>
                  <w:jc w:val="left"/>
                  <w:rPr>
                    <w:b/>
                    <w:sz w:val="18"/>
                  </w:rPr>
                </w:pPr>
                <w:r>
                  <w:rPr>
                    <w:b/>
                    <w:sz w:val="18"/>
                  </w:rPr>
                  <w:t>Koncepce veřejné infrastruktury</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rect style="position:absolute;margin-left:56.639999pt;margin-top:27.839619pt;width:482.159989pt;height:10.8pt;mso-position-horizontal-relative:page;mso-position-vertical-relative:page;z-index:-19643904" filled="true" fillcolor="#dadada" stroked="false">
          <v:fill type="solid"/>
          <w10:wrap type="none"/>
        </v:rect>
      </w:pict>
    </w:r>
    <w:r>
      <w:rPr/>
      <w:pict>
        <v:shape style="position:absolute;margin-left:55.639977pt;margin-top:27.056326pt;width:204.9pt;height:12.4pt;mso-position-horizontal-relative:page;mso-position-vertical-relative:page;z-index:-19643392" type="#_x0000_t202" filled="false" stroked="false">
          <v:textbox inset="0,0,0,0">
            <w:txbxContent>
              <w:p>
                <w:pPr>
                  <w:spacing w:before="19"/>
                  <w:ind w:left="20" w:right="0" w:firstLine="0"/>
                  <w:jc w:val="left"/>
                  <w:rPr>
                    <w:b/>
                    <w:sz w:val="18"/>
                  </w:rPr>
                </w:pPr>
                <w:r>
                  <w:rPr>
                    <w:b/>
                    <w:sz w:val="18"/>
                  </w:rPr>
                  <w:t>ÚP Chrastava – Úplné znění po vydání 3.Změny</w:t>
                </w:r>
              </w:p>
            </w:txbxContent>
          </v:textbox>
          <w10:wrap type="none"/>
        </v:shape>
      </w:pict>
    </w:r>
    <w:r>
      <w:rPr/>
      <w:pict>
        <v:shape style="position:absolute;margin-left:412.159821pt;margin-top:27.056326pt;width:127.65pt;height:12.4pt;mso-position-horizontal-relative:page;mso-position-vertical-relative:page;z-index:-19642880" type="#_x0000_t202" filled="false" stroked="false">
          <v:textbox inset="0,0,0,0">
            <w:txbxContent>
              <w:p>
                <w:pPr>
                  <w:spacing w:before="19"/>
                  <w:ind w:left="20" w:right="0" w:firstLine="0"/>
                  <w:jc w:val="left"/>
                  <w:rPr>
                    <w:b/>
                    <w:sz w:val="18"/>
                  </w:rPr>
                </w:pPr>
                <w:r>
                  <w:rPr>
                    <w:b/>
                    <w:sz w:val="18"/>
                  </w:rPr>
                  <w:t>Koncepce uspořádání krajiny</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shape style="position:absolute;margin-left:55.639977pt;margin-top:27.056326pt;width:484.15pt;height:12.4pt;mso-position-horizontal-relative:page;mso-position-vertical-relative:page;z-index:-19641344" type="#_x0000_t202" filled="false" stroked="false">
          <v:textbox inset="0,0,0,0">
            <w:txbxContent>
              <w:p>
                <w:pPr>
                  <w:tabs>
                    <w:tab w:pos="4721" w:val="left" w:leader="none"/>
                  </w:tabs>
                  <w:spacing w:before="19"/>
                  <w:ind w:left="20" w:right="0" w:firstLine="0"/>
                  <w:jc w:val="left"/>
                  <w:rPr>
                    <w:b/>
                    <w:sz w:val="18"/>
                  </w:rPr>
                </w:pPr>
                <w:r>
                  <w:rPr>
                    <w:b/>
                    <w:sz w:val="18"/>
                    <w:shd w:fill="DADADA" w:color="auto" w:val="clear"/>
                  </w:rPr>
                  <w:t>ÚP Chrastava – Úplné znění po</w:t>
                </w:r>
                <w:r>
                  <w:rPr>
                    <w:b/>
                    <w:spacing w:val="-10"/>
                    <w:sz w:val="18"/>
                    <w:shd w:fill="DADADA" w:color="auto" w:val="clear"/>
                  </w:rPr>
                  <w:t> </w:t>
                </w:r>
                <w:r>
                  <w:rPr>
                    <w:b/>
                    <w:sz w:val="18"/>
                    <w:shd w:fill="DADADA" w:color="auto" w:val="clear"/>
                  </w:rPr>
                  <w:t>vydání</w:t>
                </w:r>
                <w:r>
                  <w:rPr>
                    <w:b/>
                    <w:spacing w:val="-1"/>
                    <w:sz w:val="18"/>
                    <w:shd w:fill="DADADA" w:color="auto" w:val="clear"/>
                  </w:rPr>
                  <w:t> </w:t>
                </w:r>
                <w:r>
                  <w:rPr>
                    <w:b/>
                    <w:sz w:val="18"/>
                    <w:shd w:fill="DADADA" w:color="auto" w:val="clear"/>
                  </w:rPr>
                  <w:t>3.Změny</w:t>
                  <w:tab/>
                  <w:t>Podmínky pro využití ploch s rozdílným způsobem</w:t>
                </w:r>
                <w:r>
                  <w:rPr>
                    <w:b/>
                    <w:spacing w:val="-20"/>
                    <w:sz w:val="18"/>
                    <w:shd w:fill="DADADA" w:color="auto" w:val="clear"/>
                  </w:rPr>
                  <w:t> </w:t>
                </w:r>
                <w:r>
                  <w:rPr>
                    <w:b/>
                    <w:sz w:val="18"/>
                    <w:shd w:fill="DADADA" w:color="auto" w:val="clear"/>
                  </w:rPr>
                  <w:t>využití</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rect style="position:absolute;margin-left:56.639999pt;margin-top:27.839619pt;width:482.159989pt;height:10.8pt;mso-position-horizontal-relative:page;mso-position-vertical-relative:page;z-index:-19639808" filled="true" fillcolor="#dadada" stroked="false">
          <v:fill type="solid"/>
          <w10:wrap type="none"/>
        </v:rect>
      </w:pict>
    </w:r>
    <w:r>
      <w:rPr/>
      <w:pict>
        <v:shape style="position:absolute;margin-left:55.639977pt;margin-top:27.056326pt;width:204.9pt;height:12.4pt;mso-position-horizontal-relative:page;mso-position-vertical-relative:page;z-index:-19639296" type="#_x0000_t202" filled="false" stroked="false">
          <v:textbox inset="0,0,0,0">
            <w:txbxContent>
              <w:p>
                <w:pPr>
                  <w:spacing w:before="19"/>
                  <w:ind w:left="20" w:right="0" w:firstLine="0"/>
                  <w:jc w:val="left"/>
                  <w:rPr>
                    <w:b/>
                    <w:sz w:val="18"/>
                  </w:rPr>
                </w:pPr>
                <w:r>
                  <w:rPr>
                    <w:b/>
                    <w:sz w:val="18"/>
                  </w:rPr>
                  <w:t>ÚP Chrastava – Úplné znění po vydání 3.Změny</w:t>
                </w:r>
              </w:p>
            </w:txbxContent>
          </v:textbox>
          <w10:wrap type="none"/>
        </v:shape>
      </w:pict>
    </w:r>
    <w:r>
      <w:rPr/>
      <w:pict>
        <v:shape style="position:absolute;margin-left:495.799835pt;margin-top:27.056326pt;width:44.05pt;height:12.4pt;mso-position-horizontal-relative:page;mso-position-vertical-relative:page;z-index:-19638784" type="#_x0000_t202" filled="false" stroked="false">
          <v:textbox inset="0,0,0,0">
            <w:txbxContent>
              <w:p>
                <w:pPr>
                  <w:spacing w:before="19"/>
                  <w:ind w:left="20" w:right="0" w:firstLine="0"/>
                  <w:jc w:val="left"/>
                  <w:rPr>
                    <w:b/>
                    <w:sz w:val="18"/>
                  </w:rPr>
                </w:pPr>
                <w:r>
                  <w:rPr>
                    <w:b/>
                    <w:sz w:val="18"/>
                  </w:rPr>
                  <w:t>VPS, VPO</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rect style="position:absolute;margin-left:56.639999pt;margin-top:27.839619pt;width:482.159989pt;height:10.8pt;mso-position-horizontal-relative:page;mso-position-vertical-relative:page;z-index:-19637248" filled="true" fillcolor="#dadada" stroked="false">
          <v:fill type="solid"/>
          <w10:wrap type="none"/>
        </v:rect>
      </w:pict>
    </w:r>
    <w:r>
      <w:rPr/>
      <w:pict>
        <v:shape style="position:absolute;margin-left:55.639977pt;margin-top:27.056326pt;width:204.9pt;height:12.4pt;mso-position-horizontal-relative:page;mso-position-vertical-relative:page;z-index:-19636736" type="#_x0000_t202" filled="false" stroked="false">
          <v:textbox inset="0,0,0,0">
            <w:txbxContent>
              <w:p>
                <w:pPr>
                  <w:spacing w:before="19"/>
                  <w:ind w:left="20" w:right="0" w:firstLine="0"/>
                  <w:jc w:val="left"/>
                  <w:rPr>
                    <w:b/>
                    <w:sz w:val="18"/>
                  </w:rPr>
                </w:pPr>
                <w:r>
                  <w:rPr>
                    <w:b/>
                    <w:sz w:val="18"/>
                  </w:rPr>
                  <w:t>ÚP Chrastava – Úplné znění po vydání 3.Změny</w:t>
                </w:r>
              </w:p>
            </w:txbxContent>
          </v:textbox>
          <w10:wrap type="none"/>
        </v:shape>
      </w:pict>
    </w:r>
    <w:r>
      <w:rPr/>
      <w:pict>
        <v:shape style="position:absolute;margin-left:326.720062pt;margin-top:27.056326pt;width:213pt;height:12.4pt;mso-position-horizontal-relative:page;mso-position-vertical-relative:page;z-index:-19636224" type="#_x0000_t202" filled="false" stroked="false">
          <v:textbox inset="0,0,0,0">
            <w:txbxContent>
              <w:p>
                <w:pPr>
                  <w:spacing w:before="19"/>
                  <w:ind w:left="20" w:right="0" w:firstLine="0"/>
                  <w:jc w:val="left"/>
                  <w:rPr>
                    <w:b/>
                    <w:sz w:val="18"/>
                  </w:rPr>
                </w:pPr>
                <w:r>
                  <w:rPr>
                    <w:b/>
                    <w:sz w:val="18"/>
                  </w:rPr>
                  <w:t>Územnírezervy, územní studie, regulační plány,…</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6"/>
      <w:numFmt w:val="upperLetter"/>
      <w:lvlText w:val="%1"/>
      <w:lvlJc w:val="left"/>
      <w:pPr>
        <w:ind w:left="1024" w:hanging="852"/>
        <w:jc w:val="left"/>
      </w:pPr>
      <w:rPr>
        <w:rFonts w:hint="default"/>
        <w:lang w:val="cs-CZ" w:eastAsia="en-US" w:bidi="ar-SA"/>
      </w:rPr>
    </w:lvl>
    <w:lvl w:ilvl="1">
      <w:start w:val="3"/>
      <w:numFmt w:val="decimal"/>
      <w:lvlText w:val="%1.%2"/>
      <w:lvlJc w:val="left"/>
      <w:pPr>
        <w:ind w:left="1024" w:hanging="852"/>
        <w:jc w:val="left"/>
      </w:pPr>
      <w:rPr>
        <w:rFonts w:hint="default"/>
        <w:lang w:val="cs-CZ" w:eastAsia="en-US" w:bidi="ar-SA"/>
      </w:rPr>
    </w:lvl>
    <w:lvl w:ilvl="2">
      <w:start w:val="1"/>
      <w:numFmt w:val="decimal"/>
      <w:lvlText w:val="%1.%2.%3"/>
      <w:lvlJc w:val="left"/>
      <w:pPr>
        <w:ind w:left="1024" w:hanging="852"/>
        <w:jc w:val="left"/>
      </w:pPr>
      <w:rPr>
        <w:rFonts w:hint="default" w:ascii="Arial" w:hAnsi="Arial" w:eastAsia="Arial" w:cs="Arial"/>
        <w:b/>
        <w:bCs/>
        <w:spacing w:val="-1"/>
        <w:w w:val="99"/>
        <w:sz w:val="26"/>
        <w:szCs w:val="26"/>
        <w:lang w:val="cs-CZ" w:eastAsia="en-US" w:bidi="ar-SA"/>
      </w:rPr>
    </w:lvl>
    <w:lvl w:ilvl="3">
      <w:start w:val="0"/>
      <w:numFmt w:val="bullet"/>
      <w:lvlText w:val="•"/>
      <w:lvlJc w:val="left"/>
      <w:pPr>
        <w:ind w:left="3702" w:hanging="852"/>
      </w:pPr>
      <w:rPr>
        <w:rFonts w:hint="default"/>
        <w:lang w:val="cs-CZ" w:eastAsia="en-US" w:bidi="ar-SA"/>
      </w:rPr>
    </w:lvl>
    <w:lvl w:ilvl="4">
      <w:start w:val="0"/>
      <w:numFmt w:val="bullet"/>
      <w:lvlText w:val="•"/>
      <w:lvlJc w:val="left"/>
      <w:pPr>
        <w:ind w:left="4596" w:hanging="852"/>
      </w:pPr>
      <w:rPr>
        <w:rFonts w:hint="default"/>
        <w:lang w:val="cs-CZ" w:eastAsia="en-US" w:bidi="ar-SA"/>
      </w:rPr>
    </w:lvl>
    <w:lvl w:ilvl="5">
      <w:start w:val="0"/>
      <w:numFmt w:val="bullet"/>
      <w:lvlText w:val="•"/>
      <w:lvlJc w:val="left"/>
      <w:pPr>
        <w:ind w:left="5490" w:hanging="852"/>
      </w:pPr>
      <w:rPr>
        <w:rFonts w:hint="default"/>
        <w:lang w:val="cs-CZ" w:eastAsia="en-US" w:bidi="ar-SA"/>
      </w:rPr>
    </w:lvl>
    <w:lvl w:ilvl="6">
      <w:start w:val="0"/>
      <w:numFmt w:val="bullet"/>
      <w:lvlText w:val="•"/>
      <w:lvlJc w:val="left"/>
      <w:pPr>
        <w:ind w:left="6384" w:hanging="852"/>
      </w:pPr>
      <w:rPr>
        <w:rFonts w:hint="default"/>
        <w:lang w:val="cs-CZ" w:eastAsia="en-US" w:bidi="ar-SA"/>
      </w:rPr>
    </w:lvl>
    <w:lvl w:ilvl="7">
      <w:start w:val="0"/>
      <w:numFmt w:val="bullet"/>
      <w:lvlText w:val="•"/>
      <w:lvlJc w:val="left"/>
      <w:pPr>
        <w:ind w:left="7278" w:hanging="852"/>
      </w:pPr>
      <w:rPr>
        <w:rFonts w:hint="default"/>
        <w:lang w:val="cs-CZ" w:eastAsia="en-US" w:bidi="ar-SA"/>
      </w:rPr>
    </w:lvl>
    <w:lvl w:ilvl="8">
      <w:start w:val="0"/>
      <w:numFmt w:val="bullet"/>
      <w:lvlText w:val="•"/>
      <w:lvlJc w:val="left"/>
      <w:pPr>
        <w:ind w:left="8172" w:hanging="852"/>
      </w:pPr>
      <w:rPr>
        <w:rFonts w:hint="default"/>
        <w:lang w:val="cs-CZ" w:eastAsia="en-US" w:bidi="ar-SA"/>
      </w:rPr>
    </w:lvl>
  </w:abstractNum>
  <w:abstractNum w:abstractNumId="10">
    <w:multiLevelType w:val="hybridMultilevel"/>
    <w:lvl w:ilvl="0">
      <w:start w:val="6"/>
      <w:numFmt w:val="upperLetter"/>
      <w:lvlText w:val="%1"/>
      <w:lvlJc w:val="left"/>
      <w:pPr>
        <w:ind w:left="1024" w:hanging="852"/>
        <w:jc w:val="left"/>
      </w:pPr>
      <w:rPr>
        <w:rFonts w:hint="default"/>
        <w:lang w:val="cs-CZ" w:eastAsia="en-US" w:bidi="ar-SA"/>
      </w:rPr>
    </w:lvl>
    <w:lvl w:ilvl="1">
      <w:start w:val="2"/>
      <w:numFmt w:val="decimal"/>
      <w:lvlText w:val="%1.%2"/>
      <w:lvlJc w:val="left"/>
      <w:pPr>
        <w:ind w:left="1024" w:hanging="852"/>
        <w:jc w:val="left"/>
      </w:pPr>
      <w:rPr>
        <w:rFonts w:hint="default"/>
        <w:lang w:val="cs-CZ" w:eastAsia="en-US" w:bidi="ar-SA"/>
      </w:rPr>
    </w:lvl>
    <w:lvl w:ilvl="2">
      <w:start w:val="1"/>
      <w:numFmt w:val="decimal"/>
      <w:lvlText w:val="%1.%2.%3"/>
      <w:lvlJc w:val="left"/>
      <w:pPr>
        <w:ind w:left="1024" w:hanging="852"/>
        <w:jc w:val="left"/>
      </w:pPr>
      <w:rPr>
        <w:rFonts w:hint="default" w:ascii="Arial" w:hAnsi="Arial" w:eastAsia="Arial" w:cs="Arial"/>
        <w:b/>
        <w:bCs/>
        <w:spacing w:val="-1"/>
        <w:w w:val="99"/>
        <w:sz w:val="26"/>
        <w:szCs w:val="26"/>
        <w:lang w:val="cs-CZ" w:eastAsia="en-US" w:bidi="ar-SA"/>
      </w:rPr>
    </w:lvl>
    <w:lvl w:ilvl="3">
      <w:start w:val="0"/>
      <w:numFmt w:val="bullet"/>
      <w:lvlText w:val="•"/>
      <w:lvlJc w:val="left"/>
      <w:pPr>
        <w:ind w:left="3702" w:hanging="852"/>
      </w:pPr>
      <w:rPr>
        <w:rFonts w:hint="default"/>
        <w:lang w:val="cs-CZ" w:eastAsia="en-US" w:bidi="ar-SA"/>
      </w:rPr>
    </w:lvl>
    <w:lvl w:ilvl="4">
      <w:start w:val="0"/>
      <w:numFmt w:val="bullet"/>
      <w:lvlText w:val="•"/>
      <w:lvlJc w:val="left"/>
      <w:pPr>
        <w:ind w:left="4596" w:hanging="852"/>
      </w:pPr>
      <w:rPr>
        <w:rFonts w:hint="default"/>
        <w:lang w:val="cs-CZ" w:eastAsia="en-US" w:bidi="ar-SA"/>
      </w:rPr>
    </w:lvl>
    <w:lvl w:ilvl="5">
      <w:start w:val="0"/>
      <w:numFmt w:val="bullet"/>
      <w:lvlText w:val="•"/>
      <w:lvlJc w:val="left"/>
      <w:pPr>
        <w:ind w:left="5490" w:hanging="852"/>
      </w:pPr>
      <w:rPr>
        <w:rFonts w:hint="default"/>
        <w:lang w:val="cs-CZ" w:eastAsia="en-US" w:bidi="ar-SA"/>
      </w:rPr>
    </w:lvl>
    <w:lvl w:ilvl="6">
      <w:start w:val="0"/>
      <w:numFmt w:val="bullet"/>
      <w:lvlText w:val="•"/>
      <w:lvlJc w:val="left"/>
      <w:pPr>
        <w:ind w:left="6384" w:hanging="852"/>
      </w:pPr>
      <w:rPr>
        <w:rFonts w:hint="default"/>
        <w:lang w:val="cs-CZ" w:eastAsia="en-US" w:bidi="ar-SA"/>
      </w:rPr>
    </w:lvl>
    <w:lvl w:ilvl="7">
      <w:start w:val="0"/>
      <w:numFmt w:val="bullet"/>
      <w:lvlText w:val="•"/>
      <w:lvlJc w:val="left"/>
      <w:pPr>
        <w:ind w:left="7278" w:hanging="852"/>
      </w:pPr>
      <w:rPr>
        <w:rFonts w:hint="default"/>
        <w:lang w:val="cs-CZ" w:eastAsia="en-US" w:bidi="ar-SA"/>
      </w:rPr>
    </w:lvl>
    <w:lvl w:ilvl="8">
      <w:start w:val="0"/>
      <w:numFmt w:val="bullet"/>
      <w:lvlText w:val="•"/>
      <w:lvlJc w:val="left"/>
      <w:pPr>
        <w:ind w:left="8172" w:hanging="852"/>
      </w:pPr>
      <w:rPr>
        <w:rFonts w:hint="default"/>
        <w:lang w:val="cs-CZ" w:eastAsia="en-US" w:bidi="ar-SA"/>
      </w:rPr>
    </w:lvl>
  </w:abstractNum>
  <w:abstractNum w:abstractNumId="9">
    <w:multiLevelType w:val="hybridMultilevel"/>
    <w:lvl w:ilvl="0">
      <w:start w:val="5"/>
      <w:numFmt w:val="upperLetter"/>
      <w:lvlText w:val="%1"/>
      <w:lvlJc w:val="left"/>
      <w:pPr>
        <w:ind w:left="1024" w:hanging="852"/>
        <w:jc w:val="left"/>
      </w:pPr>
      <w:rPr>
        <w:rFonts w:hint="default"/>
        <w:lang w:val="cs-CZ" w:eastAsia="en-US" w:bidi="ar-SA"/>
      </w:rPr>
    </w:lvl>
    <w:lvl w:ilvl="1">
      <w:start w:val="2"/>
      <w:numFmt w:val="decimal"/>
      <w:lvlText w:val="%1.%2"/>
      <w:lvlJc w:val="left"/>
      <w:pPr>
        <w:ind w:left="1024" w:hanging="852"/>
        <w:jc w:val="left"/>
      </w:pPr>
      <w:rPr>
        <w:rFonts w:hint="default"/>
        <w:lang w:val="cs-CZ" w:eastAsia="en-US" w:bidi="ar-SA"/>
      </w:rPr>
    </w:lvl>
    <w:lvl w:ilvl="2">
      <w:start w:val="1"/>
      <w:numFmt w:val="decimal"/>
      <w:lvlText w:val="%1.%2.%3"/>
      <w:lvlJc w:val="left"/>
      <w:pPr>
        <w:ind w:left="1024" w:hanging="852"/>
        <w:jc w:val="left"/>
      </w:pPr>
      <w:rPr>
        <w:rFonts w:hint="default" w:ascii="Arial" w:hAnsi="Arial" w:eastAsia="Arial" w:cs="Arial"/>
        <w:b/>
        <w:bCs/>
        <w:spacing w:val="-1"/>
        <w:w w:val="99"/>
        <w:sz w:val="26"/>
        <w:szCs w:val="26"/>
        <w:lang w:val="cs-CZ" w:eastAsia="en-US" w:bidi="ar-SA"/>
      </w:rPr>
    </w:lvl>
    <w:lvl w:ilvl="3">
      <w:start w:val="0"/>
      <w:numFmt w:val="bullet"/>
      <w:lvlText w:val="•"/>
      <w:lvlJc w:val="left"/>
      <w:pPr>
        <w:ind w:left="3702" w:hanging="852"/>
      </w:pPr>
      <w:rPr>
        <w:rFonts w:hint="default"/>
        <w:lang w:val="cs-CZ" w:eastAsia="en-US" w:bidi="ar-SA"/>
      </w:rPr>
    </w:lvl>
    <w:lvl w:ilvl="4">
      <w:start w:val="0"/>
      <w:numFmt w:val="bullet"/>
      <w:lvlText w:val="•"/>
      <w:lvlJc w:val="left"/>
      <w:pPr>
        <w:ind w:left="4596" w:hanging="852"/>
      </w:pPr>
      <w:rPr>
        <w:rFonts w:hint="default"/>
        <w:lang w:val="cs-CZ" w:eastAsia="en-US" w:bidi="ar-SA"/>
      </w:rPr>
    </w:lvl>
    <w:lvl w:ilvl="5">
      <w:start w:val="0"/>
      <w:numFmt w:val="bullet"/>
      <w:lvlText w:val="•"/>
      <w:lvlJc w:val="left"/>
      <w:pPr>
        <w:ind w:left="5490" w:hanging="852"/>
      </w:pPr>
      <w:rPr>
        <w:rFonts w:hint="default"/>
        <w:lang w:val="cs-CZ" w:eastAsia="en-US" w:bidi="ar-SA"/>
      </w:rPr>
    </w:lvl>
    <w:lvl w:ilvl="6">
      <w:start w:val="0"/>
      <w:numFmt w:val="bullet"/>
      <w:lvlText w:val="•"/>
      <w:lvlJc w:val="left"/>
      <w:pPr>
        <w:ind w:left="6384" w:hanging="852"/>
      </w:pPr>
      <w:rPr>
        <w:rFonts w:hint="default"/>
        <w:lang w:val="cs-CZ" w:eastAsia="en-US" w:bidi="ar-SA"/>
      </w:rPr>
    </w:lvl>
    <w:lvl w:ilvl="7">
      <w:start w:val="0"/>
      <w:numFmt w:val="bullet"/>
      <w:lvlText w:val="•"/>
      <w:lvlJc w:val="left"/>
      <w:pPr>
        <w:ind w:left="7278" w:hanging="852"/>
      </w:pPr>
      <w:rPr>
        <w:rFonts w:hint="default"/>
        <w:lang w:val="cs-CZ" w:eastAsia="en-US" w:bidi="ar-SA"/>
      </w:rPr>
    </w:lvl>
    <w:lvl w:ilvl="8">
      <w:start w:val="0"/>
      <w:numFmt w:val="bullet"/>
      <w:lvlText w:val="•"/>
      <w:lvlJc w:val="left"/>
      <w:pPr>
        <w:ind w:left="8172" w:hanging="852"/>
      </w:pPr>
      <w:rPr>
        <w:rFonts w:hint="default"/>
        <w:lang w:val="cs-CZ" w:eastAsia="en-US" w:bidi="ar-SA"/>
      </w:rPr>
    </w:lvl>
  </w:abstractNum>
  <w:abstractNum w:abstractNumId="8">
    <w:multiLevelType w:val="hybridMultilevel"/>
    <w:lvl w:ilvl="0">
      <w:start w:val="4"/>
      <w:numFmt w:val="upperLetter"/>
      <w:lvlText w:val="%1"/>
      <w:lvlJc w:val="left"/>
      <w:pPr>
        <w:ind w:left="1024" w:hanging="852"/>
        <w:jc w:val="left"/>
      </w:pPr>
      <w:rPr>
        <w:rFonts w:hint="default"/>
        <w:lang w:val="cs-CZ" w:eastAsia="en-US" w:bidi="ar-SA"/>
      </w:rPr>
    </w:lvl>
    <w:lvl w:ilvl="1">
      <w:start w:val="5"/>
      <w:numFmt w:val="decimal"/>
      <w:lvlText w:val="%1.%2"/>
      <w:lvlJc w:val="left"/>
      <w:pPr>
        <w:ind w:left="1024" w:hanging="852"/>
        <w:jc w:val="left"/>
      </w:pPr>
      <w:rPr>
        <w:rFonts w:hint="default"/>
        <w:lang w:val="cs-CZ" w:eastAsia="en-US" w:bidi="ar-SA"/>
      </w:rPr>
    </w:lvl>
    <w:lvl w:ilvl="2">
      <w:start w:val="1"/>
      <w:numFmt w:val="decimal"/>
      <w:lvlText w:val="%1.%2.%3"/>
      <w:lvlJc w:val="left"/>
      <w:pPr>
        <w:ind w:left="1024" w:hanging="852"/>
        <w:jc w:val="left"/>
      </w:pPr>
      <w:rPr>
        <w:rFonts w:hint="default" w:ascii="Arial" w:hAnsi="Arial" w:eastAsia="Arial" w:cs="Arial"/>
        <w:b/>
        <w:bCs/>
        <w:spacing w:val="-1"/>
        <w:w w:val="99"/>
        <w:sz w:val="26"/>
        <w:szCs w:val="26"/>
        <w:lang w:val="cs-CZ" w:eastAsia="en-US" w:bidi="ar-SA"/>
      </w:rPr>
    </w:lvl>
    <w:lvl w:ilvl="3">
      <w:start w:val="0"/>
      <w:numFmt w:val="bullet"/>
      <w:lvlText w:val="•"/>
      <w:lvlJc w:val="left"/>
      <w:pPr>
        <w:ind w:left="3702" w:hanging="852"/>
      </w:pPr>
      <w:rPr>
        <w:rFonts w:hint="default"/>
        <w:lang w:val="cs-CZ" w:eastAsia="en-US" w:bidi="ar-SA"/>
      </w:rPr>
    </w:lvl>
    <w:lvl w:ilvl="4">
      <w:start w:val="0"/>
      <w:numFmt w:val="bullet"/>
      <w:lvlText w:val="•"/>
      <w:lvlJc w:val="left"/>
      <w:pPr>
        <w:ind w:left="4596" w:hanging="852"/>
      </w:pPr>
      <w:rPr>
        <w:rFonts w:hint="default"/>
        <w:lang w:val="cs-CZ" w:eastAsia="en-US" w:bidi="ar-SA"/>
      </w:rPr>
    </w:lvl>
    <w:lvl w:ilvl="5">
      <w:start w:val="0"/>
      <w:numFmt w:val="bullet"/>
      <w:lvlText w:val="•"/>
      <w:lvlJc w:val="left"/>
      <w:pPr>
        <w:ind w:left="5490" w:hanging="852"/>
      </w:pPr>
      <w:rPr>
        <w:rFonts w:hint="default"/>
        <w:lang w:val="cs-CZ" w:eastAsia="en-US" w:bidi="ar-SA"/>
      </w:rPr>
    </w:lvl>
    <w:lvl w:ilvl="6">
      <w:start w:val="0"/>
      <w:numFmt w:val="bullet"/>
      <w:lvlText w:val="•"/>
      <w:lvlJc w:val="left"/>
      <w:pPr>
        <w:ind w:left="6384" w:hanging="852"/>
      </w:pPr>
      <w:rPr>
        <w:rFonts w:hint="default"/>
        <w:lang w:val="cs-CZ" w:eastAsia="en-US" w:bidi="ar-SA"/>
      </w:rPr>
    </w:lvl>
    <w:lvl w:ilvl="7">
      <w:start w:val="0"/>
      <w:numFmt w:val="bullet"/>
      <w:lvlText w:val="•"/>
      <w:lvlJc w:val="left"/>
      <w:pPr>
        <w:ind w:left="7278" w:hanging="852"/>
      </w:pPr>
      <w:rPr>
        <w:rFonts w:hint="default"/>
        <w:lang w:val="cs-CZ" w:eastAsia="en-US" w:bidi="ar-SA"/>
      </w:rPr>
    </w:lvl>
    <w:lvl w:ilvl="8">
      <w:start w:val="0"/>
      <w:numFmt w:val="bullet"/>
      <w:lvlText w:val="•"/>
      <w:lvlJc w:val="left"/>
      <w:pPr>
        <w:ind w:left="8172" w:hanging="852"/>
      </w:pPr>
      <w:rPr>
        <w:rFonts w:hint="default"/>
        <w:lang w:val="cs-CZ" w:eastAsia="en-US" w:bidi="ar-SA"/>
      </w:rPr>
    </w:lvl>
  </w:abstractNum>
  <w:abstractNum w:abstractNumId="7">
    <w:multiLevelType w:val="hybridMultilevel"/>
    <w:lvl w:ilvl="0">
      <w:start w:val="4"/>
      <w:numFmt w:val="upperLetter"/>
      <w:lvlText w:val="%1"/>
      <w:lvlJc w:val="left"/>
      <w:pPr>
        <w:ind w:left="1024" w:hanging="852"/>
        <w:jc w:val="left"/>
      </w:pPr>
      <w:rPr>
        <w:rFonts w:hint="default"/>
        <w:lang w:val="cs-CZ" w:eastAsia="en-US" w:bidi="ar-SA"/>
      </w:rPr>
    </w:lvl>
    <w:lvl w:ilvl="1">
      <w:start w:val="3"/>
      <w:numFmt w:val="decimal"/>
      <w:lvlText w:val="%1.%2"/>
      <w:lvlJc w:val="left"/>
      <w:pPr>
        <w:ind w:left="1024" w:hanging="852"/>
        <w:jc w:val="left"/>
      </w:pPr>
      <w:rPr>
        <w:rFonts w:hint="default"/>
        <w:lang w:val="cs-CZ" w:eastAsia="en-US" w:bidi="ar-SA"/>
      </w:rPr>
    </w:lvl>
    <w:lvl w:ilvl="2">
      <w:start w:val="1"/>
      <w:numFmt w:val="decimal"/>
      <w:lvlText w:val="%1.%2.%3"/>
      <w:lvlJc w:val="left"/>
      <w:pPr>
        <w:ind w:left="1024" w:hanging="852"/>
        <w:jc w:val="left"/>
      </w:pPr>
      <w:rPr>
        <w:rFonts w:hint="default" w:ascii="Arial" w:hAnsi="Arial" w:eastAsia="Arial" w:cs="Arial"/>
        <w:b/>
        <w:bCs/>
        <w:spacing w:val="-1"/>
        <w:w w:val="99"/>
        <w:sz w:val="26"/>
        <w:szCs w:val="26"/>
        <w:lang w:val="cs-CZ" w:eastAsia="en-US" w:bidi="ar-SA"/>
      </w:rPr>
    </w:lvl>
    <w:lvl w:ilvl="3">
      <w:start w:val="0"/>
      <w:numFmt w:val="bullet"/>
      <w:lvlText w:val="•"/>
      <w:lvlJc w:val="left"/>
      <w:pPr>
        <w:ind w:left="3702" w:hanging="852"/>
      </w:pPr>
      <w:rPr>
        <w:rFonts w:hint="default"/>
        <w:lang w:val="cs-CZ" w:eastAsia="en-US" w:bidi="ar-SA"/>
      </w:rPr>
    </w:lvl>
    <w:lvl w:ilvl="4">
      <w:start w:val="0"/>
      <w:numFmt w:val="bullet"/>
      <w:lvlText w:val="•"/>
      <w:lvlJc w:val="left"/>
      <w:pPr>
        <w:ind w:left="4596" w:hanging="852"/>
      </w:pPr>
      <w:rPr>
        <w:rFonts w:hint="default"/>
        <w:lang w:val="cs-CZ" w:eastAsia="en-US" w:bidi="ar-SA"/>
      </w:rPr>
    </w:lvl>
    <w:lvl w:ilvl="5">
      <w:start w:val="0"/>
      <w:numFmt w:val="bullet"/>
      <w:lvlText w:val="•"/>
      <w:lvlJc w:val="left"/>
      <w:pPr>
        <w:ind w:left="5490" w:hanging="852"/>
      </w:pPr>
      <w:rPr>
        <w:rFonts w:hint="default"/>
        <w:lang w:val="cs-CZ" w:eastAsia="en-US" w:bidi="ar-SA"/>
      </w:rPr>
    </w:lvl>
    <w:lvl w:ilvl="6">
      <w:start w:val="0"/>
      <w:numFmt w:val="bullet"/>
      <w:lvlText w:val="•"/>
      <w:lvlJc w:val="left"/>
      <w:pPr>
        <w:ind w:left="6384" w:hanging="852"/>
      </w:pPr>
      <w:rPr>
        <w:rFonts w:hint="default"/>
        <w:lang w:val="cs-CZ" w:eastAsia="en-US" w:bidi="ar-SA"/>
      </w:rPr>
    </w:lvl>
    <w:lvl w:ilvl="7">
      <w:start w:val="0"/>
      <w:numFmt w:val="bullet"/>
      <w:lvlText w:val="•"/>
      <w:lvlJc w:val="left"/>
      <w:pPr>
        <w:ind w:left="7278" w:hanging="852"/>
      </w:pPr>
      <w:rPr>
        <w:rFonts w:hint="default"/>
        <w:lang w:val="cs-CZ" w:eastAsia="en-US" w:bidi="ar-SA"/>
      </w:rPr>
    </w:lvl>
    <w:lvl w:ilvl="8">
      <w:start w:val="0"/>
      <w:numFmt w:val="bullet"/>
      <w:lvlText w:val="•"/>
      <w:lvlJc w:val="left"/>
      <w:pPr>
        <w:ind w:left="8172" w:hanging="852"/>
      </w:pPr>
      <w:rPr>
        <w:rFonts w:hint="default"/>
        <w:lang w:val="cs-CZ" w:eastAsia="en-US" w:bidi="ar-SA"/>
      </w:rPr>
    </w:lvl>
  </w:abstractNum>
  <w:abstractNum w:abstractNumId="6">
    <w:multiLevelType w:val="hybridMultilevel"/>
    <w:lvl w:ilvl="0">
      <w:start w:val="4"/>
      <w:numFmt w:val="upperLetter"/>
      <w:lvlText w:val="%1"/>
      <w:lvlJc w:val="left"/>
      <w:pPr>
        <w:ind w:left="1024" w:hanging="852"/>
        <w:jc w:val="left"/>
      </w:pPr>
      <w:rPr>
        <w:rFonts w:hint="default"/>
        <w:lang w:val="cs-CZ" w:eastAsia="en-US" w:bidi="ar-SA"/>
      </w:rPr>
    </w:lvl>
    <w:lvl w:ilvl="1">
      <w:start w:val="2"/>
      <w:numFmt w:val="decimal"/>
      <w:lvlText w:val="%1.%2"/>
      <w:lvlJc w:val="left"/>
      <w:pPr>
        <w:ind w:left="1024" w:hanging="852"/>
        <w:jc w:val="left"/>
      </w:pPr>
      <w:rPr>
        <w:rFonts w:hint="default"/>
        <w:lang w:val="cs-CZ" w:eastAsia="en-US" w:bidi="ar-SA"/>
      </w:rPr>
    </w:lvl>
    <w:lvl w:ilvl="2">
      <w:start w:val="1"/>
      <w:numFmt w:val="decimal"/>
      <w:lvlText w:val="%1.%2.%3"/>
      <w:lvlJc w:val="left"/>
      <w:pPr>
        <w:ind w:left="1024" w:hanging="852"/>
        <w:jc w:val="left"/>
      </w:pPr>
      <w:rPr>
        <w:rFonts w:hint="default" w:ascii="Arial" w:hAnsi="Arial" w:eastAsia="Arial" w:cs="Arial"/>
        <w:b/>
        <w:bCs/>
        <w:spacing w:val="-1"/>
        <w:w w:val="99"/>
        <w:sz w:val="26"/>
        <w:szCs w:val="26"/>
        <w:lang w:val="cs-CZ" w:eastAsia="en-US" w:bidi="ar-SA"/>
      </w:rPr>
    </w:lvl>
    <w:lvl w:ilvl="3">
      <w:start w:val="0"/>
      <w:numFmt w:val="bullet"/>
      <w:lvlText w:val="•"/>
      <w:lvlJc w:val="left"/>
      <w:pPr>
        <w:ind w:left="3702" w:hanging="852"/>
      </w:pPr>
      <w:rPr>
        <w:rFonts w:hint="default"/>
        <w:lang w:val="cs-CZ" w:eastAsia="en-US" w:bidi="ar-SA"/>
      </w:rPr>
    </w:lvl>
    <w:lvl w:ilvl="4">
      <w:start w:val="0"/>
      <w:numFmt w:val="bullet"/>
      <w:lvlText w:val="•"/>
      <w:lvlJc w:val="left"/>
      <w:pPr>
        <w:ind w:left="4596" w:hanging="852"/>
      </w:pPr>
      <w:rPr>
        <w:rFonts w:hint="default"/>
        <w:lang w:val="cs-CZ" w:eastAsia="en-US" w:bidi="ar-SA"/>
      </w:rPr>
    </w:lvl>
    <w:lvl w:ilvl="5">
      <w:start w:val="0"/>
      <w:numFmt w:val="bullet"/>
      <w:lvlText w:val="•"/>
      <w:lvlJc w:val="left"/>
      <w:pPr>
        <w:ind w:left="5490" w:hanging="852"/>
      </w:pPr>
      <w:rPr>
        <w:rFonts w:hint="default"/>
        <w:lang w:val="cs-CZ" w:eastAsia="en-US" w:bidi="ar-SA"/>
      </w:rPr>
    </w:lvl>
    <w:lvl w:ilvl="6">
      <w:start w:val="0"/>
      <w:numFmt w:val="bullet"/>
      <w:lvlText w:val="•"/>
      <w:lvlJc w:val="left"/>
      <w:pPr>
        <w:ind w:left="6384" w:hanging="852"/>
      </w:pPr>
      <w:rPr>
        <w:rFonts w:hint="default"/>
        <w:lang w:val="cs-CZ" w:eastAsia="en-US" w:bidi="ar-SA"/>
      </w:rPr>
    </w:lvl>
    <w:lvl w:ilvl="7">
      <w:start w:val="0"/>
      <w:numFmt w:val="bullet"/>
      <w:lvlText w:val="•"/>
      <w:lvlJc w:val="left"/>
      <w:pPr>
        <w:ind w:left="7278" w:hanging="852"/>
      </w:pPr>
      <w:rPr>
        <w:rFonts w:hint="default"/>
        <w:lang w:val="cs-CZ" w:eastAsia="en-US" w:bidi="ar-SA"/>
      </w:rPr>
    </w:lvl>
    <w:lvl w:ilvl="8">
      <w:start w:val="0"/>
      <w:numFmt w:val="bullet"/>
      <w:lvlText w:val="•"/>
      <w:lvlJc w:val="left"/>
      <w:pPr>
        <w:ind w:left="8172" w:hanging="852"/>
      </w:pPr>
      <w:rPr>
        <w:rFonts w:hint="default"/>
        <w:lang w:val="cs-CZ" w:eastAsia="en-US" w:bidi="ar-SA"/>
      </w:rPr>
    </w:lvl>
  </w:abstractNum>
  <w:abstractNum w:abstractNumId="5">
    <w:multiLevelType w:val="hybridMultilevel"/>
    <w:lvl w:ilvl="0">
      <w:start w:val="4"/>
      <w:numFmt w:val="upperLetter"/>
      <w:lvlText w:val="%1"/>
      <w:lvlJc w:val="left"/>
      <w:pPr>
        <w:ind w:left="1024" w:hanging="852"/>
        <w:jc w:val="left"/>
      </w:pPr>
      <w:rPr>
        <w:rFonts w:hint="default"/>
        <w:lang w:val="cs-CZ" w:eastAsia="en-US" w:bidi="ar-SA"/>
      </w:rPr>
    </w:lvl>
    <w:lvl w:ilvl="1">
      <w:start w:val="1"/>
      <w:numFmt w:val="decimal"/>
      <w:lvlText w:val="%1.%2"/>
      <w:lvlJc w:val="left"/>
      <w:pPr>
        <w:ind w:left="1024" w:hanging="852"/>
        <w:jc w:val="left"/>
      </w:pPr>
      <w:rPr>
        <w:rFonts w:hint="default"/>
        <w:lang w:val="cs-CZ" w:eastAsia="en-US" w:bidi="ar-SA"/>
      </w:rPr>
    </w:lvl>
    <w:lvl w:ilvl="2">
      <w:start w:val="6"/>
      <w:numFmt w:val="decimal"/>
      <w:lvlText w:val="%1.%2.%3"/>
      <w:lvlJc w:val="left"/>
      <w:pPr>
        <w:ind w:left="1024" w:hanging="852"/>
        <w:jc w:val="left"/>
      </w:pPr>
      <w:rPr>
        <w:rFonts w:hint="default" w:ascii="Arial" w:hAnsi="Arial" w:eastAsia="Arial" w:cs="Arial"/>
        <w:b/>
        <w:bCs/>
        <w:spacing w:val="-1"/>
        <w:w w:val="99"/>
        <w:sz w:val="26"/>
        <w:szCs w:val="26"/>
        <w:lang w:val="cs-CZ" w:eastAsia="en-US" w:bidi="ar-SA"/>
      </w:rPr>
    </w:lvl>
    <w:lvl w:ilvl="3">
      <w:start w:val="0"/>
      <w:numFmt w:val="bullet"/>
      <w:lvlText w:val="•"/>
      <w:lvlJc w:val="left"/>
      <w:pPr>
        <w:ind w:left="3702" w:hanging="852"/>
      </w:pPr>
      <w:rPr>
        <w:rFonts w:hint="default"/>
        <w:lang w:val="cs-CZ" w:eastAsia="en-US" w:bidi="ar-SA"/>
      </w:rPr>
    </w:lvl>
    <w:lvl w:ilvl="4">
      <w:start w:val="0"/>
      <w:numFmt w:val="bullet"/>
      <w:lvlText w:val="•"/>
      <w:lvlJc w:val="left"/>
      <w:pPr>
        <w:ind w:left="4596" w:hanging="852"/>
      </w:pPr>
      <w:rPr>
        <w:rFonts w:hint="default"/>
        <w:lang w:val="cs-CZ" w:eastAsia="en-US" w:bidi="ar-SA"/>
      </w:rPr>
    </w:lvl>
    <w:lvl w:ilvl="5">
      <w:start w:val="0"/>
      <w:numFmt w:val="bullet"/>
      <w:lvlText w:val="•"/>
      <w:lvlJc w:val="left"/>
      <w:pPr>
        <w:ind w:left="5490" w:hanging="852"/>
      </w:pPr>
      <w:rPr>
        <w:rFonts w:hint="default"/>
        <w:lang w:val="cs-CZ" w:eastAsia="en-US" w:bidi="ar-SA"/>
      </w:rPr>
    </w:lvl>
    <w:lvl w:ilvl="6">
      <w:start w:val="0"/>
      <w:numFmt w:val="bullet"/>
      <w:lvlText w:val="•"/>
      <w:lvlJc w:val="left"/>
      <w:pPr>
        <w:ind w:left="6384" w:hanging="852"/>
      </w:pPr>
      <w:rPr>
        <w:rFonts w:hint="default"/>
        <w:lang w:val="cs-CZ" w:eastAsia="en-US" w:bidi="ar-SA"/>
      </w:rPr>
    </w:lvl>
    <w:lvl w:ilvl="7">
      <w:start w:val="0"/>
      <w:numFmt w:val="bullet"/>
      <w:lvlText w:val="•"/>
      <w:lvlJc w:val="left"/>
      <w:pPr>
        <w:ind w:left="7278" w:hanging="852"/>
      </w:pPr>
      <w:rPr>
        <w:rFonts w:hint="default"/>
        <w:lang w:val="cs-CZ" w:eastAsia="en-US" w:bidi="ar-SA"/>
      </w:rPr>
    </w:lvl>
    <w:lvl w:ilvl="8">
      <w:start w:val="0"/>
      <w:numFmt w:val="bullet"/>
      <w:lvlText w:val="•"/>
      <w:lvlJc w:val="left"/>
      <w:pPr>
        <w:ind w:left="8172" w:hanging="852"/>
      </w:pPr>
      <w:rPr>
        <w:rFonts w:hint="default"/>
        <w:lang w:val="cs-CZ" w:eastAsia="en-US" w:bidi="ar-SA"/>
      </w:rPr>
    </w:lvl>
  </w:abstractNum>
  <w:abstractNum w:abstractNumId="4">
    <w:multiLevelType w:val="hybridMultilevel"/>
    <w:lvl w:ilvl="0">
      <w:start w:val="4"/>
      <w:numFmt w:val="upperLetter"/>
      <w:lvlText w:val="%1"/>
      <w:lvlJc w:val="left"/>
      <w:pPr>
        <w:ind w:left="1025" w:hanging="852"/>
        <w:jc w:val="left"/>
      </w:pPr>
      <w:rPr>
        <w:rFonts w:hint="default"/>
        <w:lang w:val="cs-CZ" w:eastAsia="en-US" w:bidi="ar-SA"/>
      </w:rPr>
    </w:lvl>
    <w:lvl w:ilvl="1">
      <w:start w:val="1"/>
      <w:numFmt w:val="decimal"/>
      <w:lvlText w:val="%1.%2"/>
      <w:lvlJc w:val="left"/>
      <w:pPr>
        <w:ind w:left="1025" w:hanging="852"/>
        <w:jc w:val="left"/>
      </w:pPr>
      <w:rPr>
        <w:rFonts w:hint="default"/>
        <w:lang w:val="cs-CZ" w:eastAsia="en-US" w:bidi="ar-SA"/>
      </w:rPr>
    </w:lvl>
    <w:lvl w:ilvl="2">
      <w:start w:val="1"/>
      <w:numFmt w:val="decimal"/>
      <w:lvlText w:val="%1.%2.%3"/>
      <w:lvlJc w:val="left"/>
      <w:pPr>
        <w:ind w:left="1025" w:hanging="852"/>
        <w:jc w:val="left"/>
      </w:pPr>
      <w:rPr>
        <w:rFonts w:hint="default" w:ascii="Arial" w:hAnsi="Arial" w:eastAsia="Arial" w:cs="Arial"/>
        <w:b/>
        <w:bCs/>
        <w:spacing w:val="-1"/>
        <w:w w:val="99"/>
        <w:sz w:val="26"/>
        <w:szCs w:val="26"/>
        <w:lang w:val="cs-CZ" w:eastAsia="en-US" w:bidi="ar-SA"/>
      </w:rPr>
    </w:lvl>
    <w:lvl w:ilvl="3">
      <w:start w:val="1"/>
      <w:numFmt w:val="decimal"/>
      <w:lvlText w:val="%4."/>
      <w:lvlJc w:val="left"/>
      <w:pPr>
        <w:ind w:left="1269" w:hanging="245"/>
        <w:jc w:val="left"/>
      </w:pPr>
      <w:rPr>
        <w:rFonts w:hint="default" w:ascii="Arial" w:hAnsi="Arial" w:eastAsia="Arial" w:cs="Arial"/>
        <w:spacing w:val="-1"/>
        <w:w w:val="100"/>
        <w:sz w:val="22"/>
        <w:szCs w:val="22"/>
        <w:lang w:val="cs-CZ" w:eastAsia="en-US" w:bidi="ar-SA"/>
      </w:rPr>
    </w:lvl>
    <w:lvl w:ilvl="4">
      <w:start w:val="0"/>
      <w:numFmt w:val="bullet"/>
      <w:lvlText w:val="•"/>
      <w:lvlJc w:val="left"/>
      <w:pPr>
        <w:ind w:left="4160" w:hanging="245"/>
      </w:pPr>
      <w:rPr>
        <w:rFonts w:hint="default"/>
        <w:lang w:val="cs-CZ" w:eastAsia="en-US" w:bidi="ar-SA"/>
      </w:rPr>
    </w:lvl>
    <w:lvl w:ilvl="5">
      <w:start w:val="0"/>
      <w:numFmt w:val="bullet"/>
      <w:lvlText w:val="•"/>
      <w:lvlJc w:val="left"/>
      <w:pPr>
        <w:ind w:left="5126" w:hanging="245"/>
      </w:pPr>
      <w:rPr>
        <w:rFonts w:hint="default"/>
        <w:lang w:val="cs-CZ" w:eastAsia="en-US" w:bidi="ar-SA"/>
      </w:rPr>
    </w:lvl>
    <w:lvl w:ilvl="6">
      <w:start w:val="0"/>
      <w:numFmt w:val="bullet"/>
      <w:lvlText w:val="•"/>
      <w:lvlJc w:val="left"/>
      <w:pPr>
        <w:ind w:left="6093" w:hanging="245"/>
      </w:pPr>
      <w:rPr>
        <w:rFonts w:hint="default"/>
        <w:lang w:val="cs-CZ" w:eastAsia="en-US" w:bidi="ar-SA"/>
      </w:rPr>
    </w:lvl>
    <w:lvl w:ilvl="7">
      <w:start w:val="0"/>
      <w:numFmt w:val="bullet"/>
      <w:lvlText w:val="•"/>
      <w:lvlJc w:val="left"/>
      <w:pPr>
        <w:ind w:left="7060" w:hanging="245"/>
      </w:pPr>
      <w:rPr>
        <w:rFonts w:hint="default"/>
        <w:lang w:val="cs-CZ" w:eastAsia="en-US" w:bidi="ar-SA"/>
      </w:rPr>
    </w:lvl>
    <w:lvl w:ilvl="8">
      <w:start w:val="0"/>
      <w:numFmt w:val="bullet"/>
      <w:lvlText w:val="•"/>
      <w:lvlJc w:val="left"/>
      <w:pPr>
        <w:ind w:left="8026" w:hanging="245"/>
      </w:pPr>
      <w:rPr>
        <w:rFonts w:hint="default"/>
        <w:lang w:val="cs-CZ" w:eastAsia="en-US" w:bidi="ar-SA"/>
      </w:rPr>
    </w:lvl>
  </w:abstractNum>
  <w:abstractNum w:abstractNumId="3">
    <w:multiLevelType w:val="hybridMultilevel"/>
    <w:lvl w:ilvl="0">
      <w:start w:val="3"/>
      <w:numFmt w:val="upperLetter"/>
      <w:lvlText w:val="%1"/>
      <w:lvlJc w:val="left"/>
      <w:pPr>
        <w:ind w:left="1024" w:hanging="852"/>
        <w:jc w:val="left"/>
      </w:pPr>
      <w:rPr>
        <w:rFonts w:hint="default"/>
        <w:lang w:val="cs-CZ" w:eastAsia="en-US" w:bidi="ar-SA"/>
      </w:rPr>
    </w:lvl>
    <w:lvl w:ilvl="1">
      <w:start w:val="2"/>
      <w:numFmt w:val="decimal"/>
      <w:lvlText w:val="%1.%2"/>
      <w:lvlJc w:val="left"/>
      <w:pPr>
        <w:ind w:left="1024" w:hanging="852"/>
        <w:jc w:val="left"/>
      </w:pPr>
      <w:rPr>
        <w:rFonts w:hint="default"/>
        <w:lang w:val="cs-CZ" w:eastAsia="en-US" w:bidi="ar-SA"/>
      </w:rPr>
    </w:lvl>
    <w:lvl w:ilvl="2">
      <w:start w:val="1"/>
      <w:numFmt w:val="decimal"/>
      <w:lvlText w:val="%1.%2.%3"/>
      <w:lvlJc w:val="left"/>
      <w:pPr>
        <w:ind w:left="1024" w:hanging="852"/>
        <w:jc w:val="left"/>
      </w:pPr>
      <w:rPr>
        <w:rFonts w:hint="default" w:ascii="Arial" w:hAnsi="Arial" w:eastAsia="Arial" w:cs="Arial"/>
        <w:b/>
        <w:bCs/>
        <w:spacing w:val="-1"/>
        <w:w w:val="99"/>
        <w:sz w:val="26"/>
        <w:szCs w:val="26"/>
        <w:lang w:val="cs-CZ" w:eastAsia="en-US" w:bidi="ar-SA"/>
      </w:rPr>
    </w:lvl>
    <w:lvl w:ilvl="3">
      <w:start w:val="0"/>
      <w:numFmt w:val="bullet"/>
      <w:lvlText w:val="•"/>
      <w:lvlJc w:val="left"/>
      <w:pPr>
        <w:ind w:left="3702" w:hanging="852"/>
      </w:pPr>
      <w:rPr>
        <w:rFonts w:hint="default"/>
        <w:lang w:val="cs-CZ" w:eastAsia="en-US" w:bidi="ar-SA"/>
      </w:rPr>
    </w:lvl>
    <w:lvl w:ilvl="4">
      <w:start w:val="0"/>
      <w:numFmt w:val="bullet"/>
      <w:lvlText w:val="•"/>
      <w:lvlJc w:val="left"/>
      <w:pPr>
        <w:ind w:left="4596" w:hanging="852"/>
      </w:pPr>
      <w:rPr>
        <w:rFonts w:hint="default"/>
        <w:lang w:val="cs-CZ" w:eastAsia="en-US" w:bidi="ar-SA"/>
      </w:rPr>
    </w:lvl>
    <w:lvl w:ilvl="5">
      <w:start w:val="0"/>
      <w:numFmt w:val="bullet"/>
      <w:lvlText w:val="•"/>
      <w:lvlJc w:val="left"/>
      <w:pPr>
        <w:ind w:left="5490" w:hanging="852"/>
      </w:pPr>
      <w:rPr>
        <w:rFonts w:hint="default"/>
        <w:lang w:val="cs-CZ" w:eastAsia="en-US" w:bidi="ar-SA"/>
      </w:rPr>
    </w:lvl>
    <w:lvl w:ilvl="6">
      <w:start w:val="0"/>
      <w:numFmt w:val="bullet"/>
      <w:lvlText w:val="•"/>
      <w:lvlJc w:val="left"/>
      <w:pPr>
        <w:ind w:left="6384" w:hanging="852"/>
      </w:pPr>
      <w:rPr>
        <w:rFonts w:hint="default"/>
        <w:lang w:val="cs-CZ" w:eastAsia="en-US" w:bidi="ar-SA"/>
      </w:rPr>
    </w:lvl>
    <w:lvl w:ilvl="7">
      <w:start w:val="0"/>
      <w:numFmt w:val="bullet"/>
      <w:lvlText w:val="•"/>
      <w:lvlJc w:val="left"/>
      <w:pPr>
        <w:ind w:left="7278" w:hanging="852"/>
      </w:pPr>
      <w:rPr>
        <w:rFonts w:hint="default"/>
        <w:lang w:val="cs-CZ" w:eastAsia="en-US" w:bidi="ar-SA"/>
      </w:rPr>
    </w:lvl>
    <w:lvl w:ilvl="8">
      <w:start w:val="0"/>
      <w:numFmt w:val="bullet"/>
      <w:lvlText w:val="•"/>
      <w:lvlJc w:val="left"/>
      <w:pPr>
        <w:ind w:left="8172" w:hanging="852"/>
      </w:pPr>
      <w:rPr>
        <w:rFonts w:hint="default"/>
        <w:lang w:val="cs-CZ" w:eastAsia="en-US" w:bidi="ar-SA"/>
      </w:rPr>
    </w:lvl>
  </w:abstractNum>
  <w:abstractNum w:abstractNumId="2">
    <w:multiLevelType w:val="hybridMultilevel"/>
    <w:lvl w:ilvl="0">
      <w:start w:val="2"/>
      <w:numFmt w:val="upperLetter"/>
      <w:lvlText w:val="%1"/>
      <w:lvlJc w:val="left"/>
      <w:pPr>
        <w:ind w:left="1024" w:hanging="852"/>
        <w:jc w:val="left"/>
      </w:pPr>
      <w:rPr>
        <w:rFonts w:hint="default"/>
        <w:lang w:val="cs-CZ" w:eastAsia="en-US" w:bidi="ar-SA"/>
      </w:rPr>
    </w:lvl>
    <w:lvl w:ilvl="1">
      <w:start w:val="2"/>
      <w:numFmt w:val="decimal"/>
      <w:lvlText w:val="%1.%2"/>
      <w:lvlJc w:val="left"/>
      <w:pPr>
        <w:ind w:left="1024" w:hanging="852"/>
        <w:jc w:val="left"/>
      </w:pPr>
      <w:rPr>
        <w:rFonts w:hint="default"/>
        <w:lang w:val="cs-CZ" w:eastAsia="en-US" w:bidi="ar-SA"/>
      </w:rPr>
    </w:lvl>
    <w:lvl w:ilvl="2">
      <w:start w:val="1"/>
      <w:numFmt w:val="decimal"/>
      <w:lvlText w:val="%1.%2.%3"/>
      <w:lvlJc w:val="left"/>
      <w:pPr>
        <w:ind w:left="1024" w:hanging="852"/>
        <w:jc w:val="left"/>
      </w:pPr>
      <w:rPr>
        <w:rFonts w:hint="default" w:ascii="Arial" w:hAnsi="Arial" w:eastAsia="Arial" w:cs="Arial"/>
        <w:b/>
        <w:bCs/>
        <w:spacing w:val="-1"/>
        <w:w w:val="99"/>
        <w:sz w:val="26"/>
        <w:szCs w:val="26"/>
        <w:lang w:val="cs-CZ" w:eastAsia="en-US" w:bidi="ar-SA"/>
      </w:rPr>
    </w:lvl>
    <w:lvl w:ilvl="3">
      <w:start w:val="0"/>
      <w:numFmt w:val="bullet"/>
      <w:lvlText w:val="•"/>
      <w:lvlJc w:val="left"/>
      <w:pPr>
        <w:ind w:left="3702" w:hanging="852"/>
      </w:pPr>
      <w:rPr>
        <w:rFonts w:hint="default"/>
        <w:lang w:val="cs-CZ" w:eastAsia="en-US" w:bidi="ar-SA"/>
      </w:rPr>
    </w:lvl>
    <w:lvl w:ilvl="4">
      <w:start w:val="0"/>
      <w:numFmt w:val="bullet"/>
      <w:lvlText w:val="•"/>
      <w:lvlJc w:val="left"/>
      <w:pPr>
        <w:ind w:left="4596" w:hanging="852"/>
      </w:pPr>
      <w:rPr>
        <w:rFonts w:hint="default"/>
        <w:lang w:val="cs-CZ" w:eastAsia="en-US" w:bidi="ar-SA"/>
      </w:rPr>
    </w:lvl>
    <w:lvl w:ilvl="5">
      <w:start w:val="0"/>
      <w:numFmt w:val="bullet"/>
      <w:lvlText w:val="•"/>
      <w:lvlJc w:val="left"/>
      <w:pPr>
        <w:ind w:left="5490" w:hanging="852"/>
      </w:pPr>
      <w:rPr>
        <w:rFonts w:hint="default"/>
        <w:lang w:val="cs-CZ" w:eastAsia="en-US" w:bidi="ar-SA"/>
      </w:rPr>
    </w:lvl>
    <w:lvl w:ilvl="6">
      <w:start w:val="0"/>
      <w:numFmt w:val="bullet"/>
      <w:lvlText w:val="•"/>
      <w:lvlJc w:val="left"/>
      <w:pPr>
        <w:ind w:left="6384" w:hanging="852"/>
      </w:pPr>
      <w:rPr>
        <w:rFonts w:hint="default"/>
        <w:lang w:val="cs-CZ" w:eastAsia="en-US" w:bidi="ar-SA"/>
      </w:rPr>
    </w:lvl>
    <w:lvl w:ilvl="7">
      <w:start w:val="0"/>
      <w:numFmt w:val="bullet"/>
      <w:lvlText w:val="•"/>
      <w:lvlJc w:val="left"/>
      <w:pPr>
        <w:ind w:left="7278" w:hanging="852"/>
      </w:pPr>
      <w:rPr>
        <w:rFonts w:hint="default"/>
        <w:lang w:val="cs-CZ" w:eastAsia="en-US" w:bidi="ar-SA"/>
      </w:rPr>
    </w:lvl>
    <w:lvl w:ilvl="8">
      <w:start w:val="0"/>
      <w:numFmt w:val="bullet"/>
      <w:lvlText w:val="•"/>
      <w:lvlJc w:val="left"/>
      <w:pPr>
        <w:ind w:left="8172" w:hanging="852"/>
      </w:pPr>
      <w:rPr>
        <w:rFonts w:hint="default"/>
        <w:lang w:val="cs-CZ" w:eastAsia="en-US" w:bidi="ar-SA"/>
      </w:rPr>
    </w:lvl>
  </w:abstractNum>
  <w:abstractNum w:abstractNumId="1">
    <w:multiLevelType w:val="hybridMultilevel"/>
    <w:lvl w:ilvl="0">
      <w:start w:val="0"/>
      <w:numFmt w:val="bullet"/>
      <w:lvlText w:val="-"/>
      <w:lvlJc w:val="left"/>
      <w:pPr>
        <w:ind w:left="1024" w:hanging="853"/>
      </w:pPr>
      <w:rPr>
        <w:rFonts w:hint="default" w:ascii="Times New Roman" w:hAnsi="Times New Roman" w:eastAsia="Times New Roman" w:cs="Times New Roman"/>
        <w:w w:val="100"/>
        <w:sz w:val="22"/>
        <w:szCs w:val="22"/>
        <w:lang w:val="cs-CZ" w:eastAsia="en-US" w:bidi="ar-SA"/>
      </w:rPr>
    </w:lvl>
    <w:lvl w:ilvl="1">
      <w:start w:val="0"/>
      <w:numFmt w:val="bullet"/>
      <w:lvlText w:val="•"/>
      <w:lvlJc w:val="left"/>
      <w:pPr>
        <w:ind w:left="1600" w:hanging="853"/>
      </w:pPr>
      <w:rPr>
        <w:rFonts w:hint="default"/>
        <w:lang w:val="cs-CZ" w:eastAsia="en-US" w:bidi="ar-SA"/>
      </w:rPr>
    </w:lvl>
    <w:lvl w:ilvl="2">
      <w:start w:val="0"/>
      <w:numFmt w:val="bullet"/>
      <w:lvlText w:val="•"/>
      <w:lvlJc w:val="left"/>
      <w:pPr>
        <w:ind w:left="1720" w:hanging="853"/>
      </w:pPr>
      <w:rPr>
        <w:rFonts w:hint="default"/>
        <w:lang w:val="cs-CZ" w:eastAsia="en-US" w:bidi="ar-SA"/>
      </w:rPr>
    </w:lvl>
    <w:lvl w:ilvl="3">
      <w:start w:val="0"/>
      <w:numFmt w:val="bullet"/>
      <w:lvlText w:val="•"/>
      <w:lvlJc w:val="left"/>
      <w:pPr>
        <w:ind w:left="2750" w:hanging="853"/>
      </w:pPr>
      <w:rPr>
        <w:rFonts w:hint="default"/>
        <w:lang w:val="cs-CZ" w:eastAsia="en-US" w:bidi="ar-SA"/>
      </w:rPr>
    </w:lvl>
    <w:lvl w:ilvl="4">
      <w:start w:val="0"/>
      <w:numFmt w:val="bullet"/>
      <w:lvlText w:val="•"/>
      <w:lvlJc w:val="left"/>
      <w:pPr>
        <w:ind w:left="3780" w:hanging="853"/>
      </w:pPr>
      <w:rPr>
        <w:rFonts w:hint="default"/>
        <w:lang w:val="cs-CZ" w:eastAsia="en-US" w:bidi="ar-SA"/>
      </w:rPr>
    </w:lvl>
    <w:lvl w:ilvl="5">
      <w:start w:val="0"/>
      <w:numFmt w:val="bullet"/>
      <w:lvlText w:val="•"/>
      <w:lvlJc w:val="left"/>
      <w:pPr>
        <w:ind w:left="4810" w:hanging="853"/>
      </w:pPr>
      <w:rPr>
        <w:rFonts w:hint="default"/>
        <w:lang w:val="cs-CZ" w:eastAsia="en-US" w:bidi="ar-SA"/>
      </w:rPr>
    </w:lvl>
    <w:lvl w:ilvl="6">
      <w:start w:val="0"/>
      <w:numFmt w:val="bullet"/>
      <w:lvlText w:val="•"/>
      <w:lvlJc w:val="left"/>
      <w:pPr>
        <w:ind w:left="5840" w:hanging="853"/>
      </w:pPr>
      <w:rPr>
        <w:rFonts w:hint="default"/>
        <w:lang w:val="cs-CZ" w:eastAsia="en-US" w:bidi="ar-SA"/>
      </w:rPr>
    </w:lvl>
    <w:lvl w:ilvl="7">
      <w:start w:val="0"/>
      <w:numFmt w:val="bullet"/>
      <w:lvlText w:val="•"/>
      <w:lvlJc w:val="left"/>
      <w:pPr>
        <w:ind w:left="6870" w:hanging="853"/>
      </w:pPr>
      <w:rPr>
        <w:rFonts w:hint="default"/>
        <w:lang w:val="cs-CZ" w:eastAsia="en-US" w:bidi="ar-SA"/>
      </w:rPr>
    </w:lvl>
    <w:lvl w:ilvl="8">
      <w:start w:val="0"/>
      <w:numFmt w:val="bullet"/>
      <w:lvlText w:val="•"/>
      <w:lvlJc w:val="left"/>
      <w:pPr>
        <w:ind w:left="7900" w:hanging="853"/>
      </w:pPr>
      <w:rPr>
        <w:rFonts w:hint="default"/>
        <w:lang w:val="cs-CZ" w:eastAsia="en-US" w:bidi="ar-SA"/>
      </w:rPr>
    </w:lvl>
  </w:abstractNum>
  <w:abstractNum w:abstractNumId="0">
    <w:multiLevelType w:val="hybridMultilevel"/>
    <w:lvl w:ilvl="0">
      <w:start w:val="0"/>
      <w:numFmt w:val="bullet"/>
      <w:lvlText w:val="■"/>
      <w:lvlJc w:val="left"/>
      <w:pPr>
        <w:ind w:left="1024" w:hanging="853"/>
      </w:pPr>
      <w:rPr>
        <w:rFonts w:hint="default" w:ascii="Symbol" w:hAnsi="Symbol" w:eastAsia="Symbol" w:cs="Symbol"/>
        <w:w w:val="143"/>
        <w:sz w:val="19"/>
        <w:szCs w:val="19"/>
        <w:lang w:val="cs-CZ" w:eastAsia="en-US" w:bidi="ar-SA"/>
      </w:rPr>
    </w:lvl>
    <w:lvl w:ilvl="1">
      <w:start w:val="0"/>
      <w:numFmt w:val="bullet"/>
      <w:lvlText w:val="•"/>
      <w:lvlJc w:val="left"/>
      <w:pPr>
        <w:ind w:left="1380" w:hanging="853"/>
      </w:pPr>
      <w:rPr>
        <w:rFonts w:hint="default"/>
        <w:lang w:val="cs-CZ" w:eastAsia="en-US" w:bidi="ar-SA"/>
      </w:rPr>
    </w:lvl>
    <w:lvl w:ilvl="2">
      <w:start w:val="0"/>
      <w:numFmt w:val="bullet"/>
      <w:lvlText w:val="•"/>
      <w:lvlJc w:val="left"/>
      <w:pPr>
        <w:ind w:left="2333" w:hanging="853"/>
      </w:pPr>
      <w:rPr>
        <w:rFonts w:hint="default"/>
        <w:lang w:val="cs-CZ" w:eastAsia="en-US" w:bidi="ar-SA"/>
      </w:rPr>
    </w:lvl>
    <w:lvl w:ilvl="3">
      <w:start w:val="0"/>
      <w:numFmt w:val="bullet"/>
      <w:lvlText w:val="•"/>
      <w:lvlJc w:val="left"/>
      <w:pPr>
        <w:ind w:left="3286" w:hanging="853"/>
      </w:pPr>
      <w:rPr>
        <w:rFonts w:hint="default"/>
        <w:lang w:val="cs-CZ" w:eastAsia="en-US" w:bidi="ar-SA"/>
      </w:rPr>
    </w:lvl>
    <w:lvl w:ilvl="4">
      <w:start w:val="0"/>
      <w:numFmt w:val="bullet"/>
      <w:lvlText w:val="•"/>
      <w:lvlJc w:val="left"/>
      <w:pPr>
        <w:ind w:left="4240" w:hanging="853"/>
      </w:pPr>
      <w:rPr>
        <w:rFonts w:hint="default"/>
        <w:lang w:val="cs-CZ" w:eastAsia="en-US" w:bidi="ar-SA"/>
      </w:rPr>
    </w:lvl>
    <w:lvl w:ilvl="5">
      <w:start w:val="0"/>
      <w:numFmt w:val="bullet"/>
      <w:lvlText w:val="•"/>
      <w:lvlJc w:val="left"/>
      <w:pPr>
        <w:ind w:left="5193" w:hanging="853"/>
      </w:pPr>
      <w:rPr>
        <w:rFonts w:hint="default"/>
        <w:lang w:val="cs-CZ" w:eastAsia="en-US" w:bidi="ar-SA"/>
      </w:rPr>
    </w:lvl>
    <w:lvl w:ilvl="6">
      <w:start w:val="0"/>
      <w:numFmt w:val="bullet"/>
      <w:lvlText w:val="•"/>
      <w:lvlJc w:val="left"/>
      <w:pPr>
        <w:ind w:left="6146" w:hanging="853"/>
      </w:pPr>
      <w:rPr>
        <w:rFonts w:hint="default"/>
        <w:lang w:val="cs-CZ" w:eastAsia="en-US" w:bidi="ar-SA"/>
      </w:rPr>
    </w:lvl>
    <w:lvl w:ilvl="7">
      <w:start w:val="0"/>
      <w:numFmt w:val="bullet"/>
      <w:lvlText w:val="•"/>
      <w:lvlJc w:val="left"/>
      <w:pPr>
        <w:ind w:left="7100" w:hanging="853"/>
      </w:pPr>
      <w:rPr>
        <w:rFonts w:hint="default"/>
        <w:lang w:val="cs-CZ" w:eastAsia="en-US" w:bidi="ar-SA"/>
      </w:rPr>
    </w:lvl>
    <w:lvl w:ilvl="8">
      <w:start w:val="0"/>
      <w:numFmt w:val="bullet"/>
      <w:lvlText w:val="•"/>
      <w:lvlJc w:val="left"/>
      <w:pPr>
        <w:ind w:left="8053" w:hanging="853"/>
      </w:pPr>
      <w:rPr>
        <w:rFonts w:hint="default"/>
        <w:lang w:val="cs-CZ"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cs-CZ" w:eastAsia="en-US" w:bidi="ar-SA"/>
    </w:rPr>
  </w:style>
  <w:style w:styleId="BodyText" w:type="paragraph">
    <w:name w:val="Body Text"/>
    <w:basedOn w:val="Normal"/>
    <w:uiPriority w:val="1"/>
    <w:qFormat/>
    <w:pPr>
      <w:ind w:left="1024" w:hanging="853"/>
      <w:jc w:val="both"/>
    </w:pPr>
    <w:rPr>
      <w:rFonts w:ascii="Arial" w:hAnsi="Arial" w:eastAsia="Arial" w:cs="Arial"/>
      <w:sz w:val="22"/>
      <w:szCs w:val="22"/>
      <w:lang w:val="cs-CZ" w:eastAsia="en-US" w:bidi="ar-SA"/>
    </w:rPr>
  </w:style>
  <w:style w:styleId="Heading1" w:type="paragraph">
    <w:name w:val="Heading 1"/>
    <w:basedOn w:val="Normal"/>
    <w:uiPriority w:val="1"/>
    <w:qFormat/>
    <w:pPr>
      <w:spacing w:before="118"/>
      <w:ind w:left="1024"/>
      <w:outlineLvl w:val="1"/>
    </w:pPr>
    <w:rPr>
      <w:rFonts w:ascii="Arial" w:hAnsi="Arial" w:eastAsia="Arial" w:cs="Arial"/>
      <w:b/>
      <w:bCs/>
      <w:sz w:val="40"/>
      <w:szCs w:val="40"/>
      <w:lang w:val="cs-CZ" w:eastAsia="en-US" w:bidi="ar-SA"/>
    </w:rPr>
  </w:style>
  <w:style w:styleId="Heading2" w:type="paragraph">
    <w:name w:val="Heading 2"/>
    <w:basedOn w:val="Normal"/>
    <w:uiPriority w:val="1"/>
    <w:qFormat/>
    <w:pPr>
      <w:ind w:left="1024" w:hanging="853"/>
      <w:outlineLvl w:val="2"/>
    </w:pPr>
    <w:rPr>
      <w:rFonts w:ascii="Arial" w:hAnsi="Arial" w:eastAsia="Arial" w:cs="Arial"/>
      <w:b/>
      <w:bCs/>
      <w:sz w:val="26"/>
      <w:szCs w:val="26"/>
      <w:lang w:val="cs-CZ" w:eastAsia="en-US" w:bidi="ar-SA"/>
    </w:rPr>
  </w:style>
  <w:style w:styleId="Heading3" w:type="paragraph">
    <w:name w:val="Heading 3"/>
    <w:basedOn w:val="Normal"/>
    <w:uiPriority w:val="1"/>
    <w:qFormat/>
    <w:pPr>
      <w:spacing w:before="117"/>
      <w:ind w:left="1024"/>
      <w:outlineLvl w:val="3"/>
    </w:pPr>
    <w:rPr>
      <w:rFonts w:ascii="Arial" w:hAnsi="Arial" w:eastAsia="Arial" w:cs="Arial"/>
      <w:b/>
      <w:bCs/>
      <w:sz w:val="22"/>
      <w:szCs w:val="22"/>
      <w:lang w:val="cs-CZ" w:eastAsia="en-US" w:bidi="ar-SA"/>
    </w:rPr>
  </w:style>
  <w:style w:styleId="ListParagraph" w:type="paragraph">
    <w:name w:val="List Paragraph"/>
    <w:basedOn w:val="Normal"/>
    <w:uiPriority w:val="1"/>
    <w:qFormat/>
    <w:pPr>
      <w:spacing w:before="61"/>
      <w:ind w:left="1024" w:hanging="853"/>
      <w:jc w:val="both"/>
    </w:pPr>
    <w:rPr>
      <w:rFonts w:ascii="Arial" w:hAnsi="Arial" w:eastAsia="Arial" w:cs="Arial"/>
      <w:lang w:val="cs-CZ" w:eastAsia="en-US" w:bidi="ar-SA"/>
    </w:rPr>
  </w:style>
  <w:style w:styleId="TableParagraph" w:type="paragraph">
    <w:name w:val="Table Paragraph"/>
    <w:basedOn w:val="Normal"/>
    <w:uiPriority w:val="1"/>
    <w:qFormat/>
    <w:pPr>
      <w:ind w:left="129"/>
    </w:pPr>
    <w:rPr>
      <w:rFonts w:ascii="Arial" w:hAnsi="Arial" w:eastAsia="Arial" w:cs="Arial"/>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image" Target="media/image1.png"/><Relationship Id="rId20" Type="http://schemas.openxmlformats.org/officeDocument/2006/relationships/image" Target="media/image2.png"/><Relationship Id="rId21" Type="http://schemas.openxmlformats.org/officeDocument/2006/relationships/image" Target="media/image3.png"/><Relationship Id="rId22" Type="http://schemas.openxmlformats.org/officeDocument/2006/relationships/header" Target="header8.xml"/><Relationship Id="rId23" Type="http://schemas.openxmlformats.org/officeDocument/2006/relationships/footer" Target="footer8.xml"/><Relationship Id="rId24" Type="http://schemas.openxmlformats.org/officeDocument/2006/relationships/header" Target="header9.xml"/><Relationship Id="rId25" Type="http://schemas.openxmlformats.org/officeDocument/2006/relationships/footer" Target="footer9.xml"/><Relationship Id="rId2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Jirka</dc:creator>
  <dc:title>Chrastava_ZUP3_ÚZ</dc:title>
  <dcterms:created xsi:type="dcterms:W3CDTF">2022-03-08T08:41:49Z</dcterms:created>
  <dcterms:modified xsi:type="dcterms:W3CDTF">2022-03-08T08:41:49Z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2021-04-15T00:00:00Z</vt:filetime>
  </property>
  <property fmtid="{D5CDD505-2E9C-101B-9397-08002B2CF9AE}" pid="3" name="Creator">
    <vt:lpwstr>PDFCreator Free 3.5.1</vt:lpwstr>
  </property>
  <property fmtid="{D5CDD505-2E9C-101B-9397-08002B2CF9AE}" pid="4" name="LastSaved">
    <vt:filetime>2022-03-08T00:00:00Z</vt:filetime>
  </property>
</Properties>
</file>